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9FA" w:rsidRPr="00C36017" w:rsidRDefault="000179FA" w:rsidP="00C36017">
      <w:pPr>
        <w:spacing w:after="0" w:line="240" w:lineRule="auto"/>
        <w:ind w:firstLine="5400"/>
        <w:rPr>
          <w:rFonts w:ascii="Times New Roman" w:hAnsi="Times New Roman"/>
          <w:sz w:val="28"/>
          <w:szCs w:val="28"/>
          <w:lang w:eastAsia="ru-RU"/>
        </w:rPr>
      </w:pPr>
      <w:r w:rsidRPr="00C36017">
        <w:rPr>
          <w:rFonts w:ascii="Times New Roman" w:hAnsi="Times New Roman"/>
          <w:sz w:val="28"/>
          <w:szCs w:val="28"/>
          <w:lang w:eastAsia="ru-RU"/>
        </w:rPr>
        <w:t>ЗАТВЕРДЖЕНО</w:t>
      </w:r>
    </w:p>
    <w:p w:rsidR="000179FA" w:rsidRPr="00C36017" w:rsidRDefault="000179FA" w:rsidP="00C36017">
      <w:pPr>
        <w:spacing w:after="0" w:line="240" w:lineRule="auto"/>
        <w:ind w:firstLine="5400"/>
        <w:rPr>
          <w:rFonts w:ascii="Times New Roman" w:hAnsi="Times New Roman"/>
          <w:sz w:val="28"/>
          <w:szCs w:val="28"/>
          <w:lang w:eastAsia="ru-RU"/>
        </w:rPr>
      </w:pPr>
      <w:r w:rsidRPr="00C36017">
        <w:rPr>
          <w:rFonts w:ascii="Times New Roman" w:hAnsi="Times New Roman"/>
          <w:sz w:val="28"/>
          <w:szCs w:val="28"/>
          <w:lang w:eastAsia="ru-RU"/>
        </w:rPr>
        <w:t xml:space="preserve">Наказ Херсонського </w:t>
      </w:r>
    </w:p>
    <w:p w:rsidR="000179FA" w:rsidRPr="00C36017" w:rsidRDefault="000179FA" w:rsidP="00C36017">
      <w:pPr>
        <w:spacing w:after="0" w:line="240" w:lineRule="auto"/>
        <w:ind w:firstLine="5400"/>
        <w:rPr>
          <w:rFonts w:ascii="Times New Roman" w:hAnsi="Times New Roman"/>
          <w:sz w:val="28"/>
          <w:szCs w:val="28"/>
          <w:lang w:eastAsia="ru-RU"/>
        </w:rPr>
      </w:pPr>
      <w:r w:rsidRPr="00C36017">
        <w:rPr>
          <w:rFonts w:ascii="Times New Roman" w:hAnsi="Times New Roman"/>
          <w:sz w:val="28"/>
          <w:szCs w:val="28"/>
          <w:lang w:eastAsia="ru-RU"/>
        </w:rPr>
        <w:t>державного університету</w:t>
      </w:r>
    </w:p>
    <w:p w:rsidR="000179FA" w:rsidRPr="00C36017" w:rsidRDefault="000179FA" w:rsidP="00C36017">
      <w:pPr>
        <w:keepNext/>
        <w:spacing w:after="0" w:line="240" w:lineRule="auto"/>
        <w:ind w:firstLine="5400"/>
        <w:outlineLvl w:val="0"/>
        <w:rPr>
          <w:rFonts w:ascii="Times New Roman" w:hAnsi="Times New Roman"/>
          <w:sz w:val="28"/>
          <w:szCs w:val="28"/>
          <w:lang w:val="ru-RU" w:eastAsia="ru-RU"/>
        </w:rPr>
      </w:pPr>
      <w:r w:rsidRPr="00C36017">
        <w:rPr>
          <w:rFonts w:ascii="Times New Roman" w:hAnsi="Times New Roman"/>
          <w:sz w:val="28"/>
          <w:szCs w:val="28"/>
          <w:lang w:eastAsia="ru-RU"/>
        </w:rPr>
        <w:t>«29» жовтня 2015 року № 628 -Д</w:t>
      </w:r>
    </w:p>
    <w:p w:rsidR="000179FA" w:rsidRPr="003344FD" w:rsidRDefault="000179FA" w:rsidP="00104F26">
      <w:pPr>
        <w:spacing w:after="0" w:line="240" w:lineRule="auto"/>
        <w:jc w:val="center"/>
        <w:rPr>
          <w:rFonts w:ascii="Times New Roman" w:hAnsi="Times New Roman"/>
          <w:color w:val="FF0000"/>
          <w:sz w:val="28"/>
          <w:szCs w:val="28"/>
          <w:lang w:eastAsia="ru-RU"/>
        </w:rPr>
      </w:pPr>
    </w:p>
    <w:p w:rsidR="000179FA" w:rsidRDefault="000179FA" w:rsidP="00104F26">
      <w:pPr>
        <w:spacing w:after="0" w:line="240" w:lineRule="auto"/>
        <w:jc w:val="center"/>
        <w:rPr>
          <w:rFonts w:ascii="Times New Roman" w:hAnsi="Times New Roman"/>
          <w:sz w:val="28"/>
          <w:szCs w:val="28"/>
          <w:lang w:eastAsia="ru-RU"/>
        </w:rPr>
      </w:pPr>
    </w:p>
    <w:p w:rsidR="000179FA" w:rsidRDefault="000179FA" w:rsidP="00104F26">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ПОЛОЖЕННЯ</w:t>
      </w:r>
    </w:p>
    <w:p w:rsidR="000179FA" w:rsidRDefault="000179FA" w:rsidP="00104F26">
      <w:pPr>
        <w:spacing w:after="0" w:line="240" w:lineRule="auto"/>
        <w:jc w:val="center"/>
        <w:rPr>
          <w:rFonts w:ascii="Times New Roman" w:hAnsi="Times New Roman"/>
          <w:sz w:val="28"/>
          <w:szCs w:val="20"/>
          <w:lang w:val="ru-RU" w:eastAsia="uk-UA"/>
        </w:rPr>
      </w:pPr>
      <w:r>
        <w:rPr>
          <w:rFonts w:ascii="Times New Roman" w:hAnsi="Times New Roman"/>
          <w:sz w:val="28"/>
          <w:szCs w:val="20"/>
          <w:lang w:eastAsia="uk-UA"/>
        </w:rPr>
        <w:t xml:space="preserve">ПРО АКАДЕМІЧНУ МОБІЛЬНІСТЬ СТУДЕНТІВ </w:t>
      </w:r>
    </w:p>
    <w:p w:rsidR="000179FA" w:rsidRDefault="000179FA" w:rsidP="00104F26">
      <w:pPr>
        <w:spacing w:after="0" w:line="240" w:lineRule="auto"/>
        <w:jc w:val="center"/>
        <w:rPr>
          <w:rFonts w:ascii="Times New Roman" w:hAnsi="Times New Roman"/>
          <w:sz w:val="28"/>
          <w:szCs w:val="20"/>
          <w:lang w:eastAsia="uk-UA"/>
        </w:rPr>
      </w:pPr>
      <w:r>
        <w:rPr>
          <w:rFonts w:ascii="Times New Roman" w:hAnsi="Times New Roman"/>
          <w:sz w:val="28"/>
          <w:szCs w:val="20"/>
          <w:lang w:eastAsia="uk-UA"/>
        </w:rPr>
        <w:t xml:space="preserve">ХЕРСОНСЬКОГО ДЕРЖАВНОГО УНІВЕРСИТЕТУ </w:t>
      </w:r>
    </w:p>
    <w:p w:rsidR="000179FA" w:rsidRDefault="000179FA" w:rsidP="00104F26">
      <w:pPr>
        <w:tabs>
          <w:tab w:val="left" w:pos="360"/>
        </w:tabs>
        <w:spacing w:after="0" w:line="240" w:lineRule="auto"/>
        <w:rPr>
          <w:rFonts w:ascii="Times New Roman" w:hAnsi="Times New Roman"/>
          <w:sz w:val="28"/>
          <w:szCs w:val="28"/>
          <w:lang w:eastAsia="ru-RU"/>
        </w:rPr>
      </w:pPr>
    </w:p>
    <w:p w:rsidR="000179FA" w:rsidRDefault="000179FA" w:rsidP="00104F26">
      <w:pPr>
        <w:tabs>
          <w:tab w:val="left" w:pos="360"/>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1.ЗАГАЛЬНІ ПОЛОЖЕННЯ</w:t>
      </w:r>
    </w:p>
    <w:p w:rsidR="000179FA" w:rsidRDefault="000179FA" w:rsidP="00104F26">
      <w:pPr>
        <w:pStyle w:val="ListParagraph"/>
        <w:tabs>
          <w:tab w:val="left" w:pos="360"/>
        </w:tabs>
        <w:spacing w:after="0" w:line="240" w:lineRule="auto"/>
        <w:ind w:left="1077"/>
        <w:rPr>
          <w:rFonts w:ascii="Times New Roman" w:hAnsi="Times New Roman"/>
          <w:sz w:val="28"/>
          <w:szCs w:val="28"/>
          <w:lang w:eastAsia="ru-RU"/>
        </w:rPr>
      </w:pPr>
    </w:p>
    <w:p w:rsidR="000179FA" w:rsidRDefault="000179FA" w:rsidP="00104F26">
      <w:pPr>
        <w:tabs>
          <w:tab w:val="left" w:pos="1134"/>
        </w:tabs>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 xml:space="preserve">1.Положення регламентує діяльність Херсонського державного університету (далі – ХДУ) щодо організації академічної мобільності учасників освітнього процесу і встановлює загальний порядок організації різних програм академічної мобільності на території України і за кордоном. </w:t>
      </w:r>
    </w:p>
    <w:p w:rsidR="000179FA" w:rsidRDefault="000179FA" w:rsidP="00104F26">
      <w:pPr>
        <w:tabs>
          <w:tab w:val="left" w:pos="1055"/>
          <w:tab w:val="left" w:pos="1276"/>
        </w:tabs>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2. Академічна мобільність передбачає участь як вітчизняних, так і іноземних учасників освітнього процесу в освітньому процесі (в Україні або за кордоном), проходження навчальної або виробничої практики, проведення наукових досліджень з можливістю перезарахування в установленому порядку освоєних навчальних дисциплін, практик тощо.</w:t>
      </w:r>
    </w:p>
    <w:p w:rsidR="000179FA" w:rsidRDefault="000179FA" w:rsidP="00104F26">
      <w:pPr>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Навчання вітчизняних та іноземних учасників освітнього процесу за узгодженими між вищими навчальними закладами (науковими установами) – партнерами освітніми програмами, що включають програми академічної мобільності, може передбачати отримання випускниками документа про вищу освіту вищого навчального закладу (наукової установи) – партнера, а також спільних або подвійних документів про вищу освіту вищих навчальних закладів (наукових установ) – партнерів.</w:t>
      </w:r>
    </w:p>
    <w:p w:rsidR="000179FA" w:rsidRDefault="000179FA" w:rsidP="00104F26">
      <w:pPr>
        <w:tabs>
          <w:tab w:val="left" w:pos="1134"/>
        </w:tabs>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 xml:space="preserve">3. Академічна мобільність здійснюється на підставі </w:t>
      </w:r>
      <w:r>
        <w:rPr>
          <w:rFonts w:ascii="Times New Roman" w:hAnsi="Times New Roman"/>
          <w:sz w:val="28"/>
          <w:szCs w:val="28"/>
          <w:lang w:eastAsia="uk-UA"/>
        </w:rPr>
        <w:t>міжнародних договорів про співробітництво в галузі освіти та науки, міжнародних програм та проектів,</w:t>
      </w:r>
      <w:r>
        <w:rPr>
          <w:rFonts w:ascii="Times New Roman" w:hAnsi="Times New Roman"/>
          <w:sz w:val="28"/>
          <w:szCs w:val="28"/>
          <w:lang w:eastAsia="ru-RU"/>
        </w:rPr>
        <w:t xml:space="preserve"> укладення угод про співробітництво між іноземним вищим навчальним закладом та ХДУ, між вищими навчальними закладами України та ХДУ, між групою вищих навчальних закладів різних країн та ХДУ за узгодженими та затвердженими в установленому порядку індивідуальними навчальними планами та програмами навчальних дисциплін. Вищі навчальні заклади, які уклали угоду з ХДУ про співробітництво, в цілях цього Положення надалі іменуються «вищі навчальні заклади-партнери».</w:t>
      </w:r>
    </w:p>
    <w:p w:rsidR="000179FA" w:rsidRDefault="000179FA" w:rsidP="00104F26">
      <w:pPr>
        <w:spacing w:after="0" w:line="240" w:lineRule="auto"/>
        <w:ind w:firstLine="357"/>
        <w:jc w:val="both"/>
        <w:rPr>
          <w:rFonts w:ascii="Times New Roman" w:hAnsi="Times New Roman"/>
          <w:sz w:val="28"/>
          <w:szCs w:val="28"/>
          <w:lang w:eastAsia="uk-UA"/>
        </w:rPr>
      </w:pPr>
      <w:r>
        <w:rPr>
          <w:rFonts w:ascii="Times New Roman" w:hAnsi="Times New Roman"/>
          <w:sz w:val="28"/>
          <w:szCs w:val="28"/>
          <w:lang w:eastAsia="uk-UA"/>
        </w:rPr>
        <w:t>4. Право на академічну мобільність може бути реалізоване вітчизняним учасником освітнього процесу з власної ініціативи, підтриманої адміністрацією ХДУ, на основі індивідуальних запрошень та інших механізмів.</w:t>
      </w:r>
    </w:p>
    <w:p w:rsidR="000179FA" w:rsidRDefault="000179FA" w:rsidP="00104F26">
      <w:pPr>
        <w:spacing w:after="0" w:line="240" w:lineRule="auto"/>
        <w:ind w:firstLine="357"/>
        <w:jc w:val="both"/>
        <w:rPr>
          <w:rFonts w:ascii="Times New Roman" w:hAnsi="Times New Roman"/>
          <w:sz w:val="28"/>
          <w:szCs w:val="28"/>
          <w:lang w:eastAsia="uk-UA"/>
        </w:rPr>
      </w:pPr>
      <w:r>
        <w:rPr>
          <w:rFonts w:ascii="Times New Roman" w:hAnsi="Times New Roman"/>
          <w:sz w:val="28"/>
          <w:szCs w:val="28"/>
          <w:lang w:eastAsia="uk-UA"/>
        </w:rPr>
        <w:t>5. За місцем реалізації права на академічну мобільність вона поділяється на:</w:t>
      </w:r>
    </w:p>
    <w:p w:rsidR="000179FA" w:rsidRDefault="000179FA" w:rsidP="00104F26">
      <w:pPr>
        <w:spacing w:after="0" w:line="240" w:lineRule="auto"/>
        <w:ind w:firstLine="357"/>
        <w:jc w:val="both"/>
        <w:rPr>
          <w:rFonts w:ascii="Times New Roman" w:hAnsi="Times New Roman"/>
          <w:sz w:val="28"/>
          <w:szCs w:val="28"/>
          <w:lang w:eastAsia="uk-UA"/>
        </w:rPr>
      </w:pPr>
      <w:r>
        <w:rPr>
          <w:rFonts w:ascii="Times New Roman" w:hAnsi="Times New Roman"/>
          <w:sz w:val="28"/>
          <w:szCs w:val="28"/>
          <w:lang w:eastAsia="uk-UA"/>
        </w:rPr>
        <w:t>внутрішню академічну мобільність — академічна мобільність, право на яку реалізується вітчизняними учасниками освітнього процесу у вищих навчальних закладах (наукових установах) — партнерах в межах України;</w:t>
      </w:r>
    </w:p>
    <w:p w:rsidR="000179FA" w:rsidRDefault="000179FA" w:rsidP="00104F26">
      <w:pPr>
        <w:spacing w:after="0" w:line="240" w:lineRule="auto"/>
        <w:ind w:firstLine="357"/>
        <w:jc w:val="both"/>
        <w:rPr>
          <w:rFonts w:ascii="Times New Roman" w:hAnsi="Times New Roman"/>
          <w:sz w:val="28"/>
          <w:szCs w:val="28"/>
          <w:lang w:eastAsia="uk-UA"/>
        </w:rPr>
      </w:pPr>
      <w:r>
        <w:rPr>
          <w:rFonts w:ascii="Times New Roman" w:hAnsi="Times New Roman"/>
          <w:sz w:val="28"/>
          <w:szCs w:val="28"/>
          <w:lang w:eastAsia="uk-UA"/>
        </w:rPr>
        <w:t>міжнародну академічну мобільність — академічна мобільність, право на яку реалізується вітчизняними учасниками освітнього процесу у вищих навчальних закладах (наукових установах) — партнерах поза межами України, а також іноземними учасниками освітнього процесу у вітчизняних вищих навчальних закладах (наукових установах).</w:t>
      </w:r>
    </w:p>
    <w:p w:rsidR="000179FA" w:rsidRDefault="000179FA" w:rsidP="00104F26">
      <w:pPr>
        <w:spacing w:after="0" w:line="240" w:lineRule="auto"/>
        <w:ind w:firstLine="357"/>
        <w:jc w:val="both"/>
        <w:rPr>
          <w:rFonts w:ascii="Times New Roman" w:hAnsi="Times New Roman"/>
          <w:sz w:val="28"/>
          <w:szCs w:val="28"/>
          <w:lang w:eastAsia="uk-UA"/>
        </w:rPr>
      </w:pPr>
      <w:r>
        <w:rPr>
          <w:rFonts w:ascii="Times New Roman" w:hAnsi="Times New Roman"/>
          <w:sz w:val="28"/>
          <w:szCs w:val="28"/>
          <w:lang w:eastAsia="uk-UA"/>
        </w:rPr>
        <w:t>6. Основними видами академічної мобільності є:</w:t>
      </w:r>
    </w:p>
    <w:p w:rsidR="000179FA" w:rsidRDefault="000179FA" w:rsidP="00104F26">
      <w:pPr>
        <w:spacing w:after="0" w:line="240" w:lineRule="auto"/>
        <w:ind w:firstLine="357"/>
        <w:jc w:val="both"/>
        <w:rPr>
          <w:rFonts w:ascii="Times New Roman" w:hAnsi="Times New Roman"/>
          <w:sz w:val="28"/>
          <w:szCs w:val="28"/>
          <w:lang w:eastAsia="uk-UA"/>
        </w:rPr>
      </w:pPr>
      <w:r>
        <w:rPr>
          <w:rFonts w:ascii="Times New Roman" w:hAnsi="Times New Roman"/>
          <w:sz w:val="28"/>
          <w:szCs w:val="28"/>
          <w:lang w:eastAsia="uk-UA"/>
        </w:rPr>
        <w:t>ступенева мобільність — навчання у вищому навчальному закладі, відмінному від постійного місця навчання учасника освітнього процесу, з метою здобуття ступеня вищої освіти, що підтверджується документом (документами) про вищу освіту або про здобуття ступеня вищої освіти від двох або більше вищих навчальних закладів;</w:t>
      </w:r>
    </w:p>
    <w:p w:rsidR="000179FA" w:rsidRDefault="000179FA" w:rsidP="00104F26">
      <w:pPr>
        <w:spacing w:after="0" w:line="240" w:lineRule="auto"/>
        <w:ind w:firstLine="357"/>
        <w:jc w:val="both"/>
        <w:rPr>
          <w:rFonts w:ascii="Times New Roman" w:hAnsi="Times New Roman"/>
          <w:sz w:val="28"/>
          <w:szCs w:val="28"/>
          <w:lang w:eastAsia="uk-UA"/>
        </w:rPr>
      </w:pPr>
      <w:r>
        <w:rPr>
          <w:rFonts w:ascii="Times New Roman" w:hAnsi="Times New Roman"/>
          <w:sz w:val="28"/>
          <w:szCs w:val="28"/>
          <w:lang w:eastAsia="uk-UA"/>
        </w:rPr>
        <w:t>кредитна мобільність — навчання у вищому навчальному закладі, відмінному від постійного місця навчання учасника освітнього процесу, з метою здобуття кредитів Європейської кредитної трансферно-накопичувальної системи та/або відповідних компетентностей, результатів навчання (без здобуття кредитів Європейської кредитної трансферно-накопичувальної системи), що будуть визнані у вищому навчальному закладі постійного місця навчання вітчизняного чи іноземного учасника освітнього процесу. При цьому загальний період навчання для таких учасників за програмами кредитної мобільності залишається незмінним.</w:t>
      </w:r>
    </w:p>
    <w:p w:rsidR="000179FA" w:rsidRDefault="000179FA" w:rsidP="00104F26">
      <w:pPr>
        <w:spacing w:after="0" w:line="240" w:lineRule="auto"/>
        <w:ind w:firstLine="357"/>
        <w:jc w:val="both"/>
        <w:rPr>
          <w:rFonts w:ascii="Times New Roman" w:hAnsi="Times New Roman"/>
          <w:sz w:val="28"/>
          <w:szCs w:val="28"/>
          <w:lang w:eastAsia="uk-UA"/>
        </w:rPr>
      </w:pPr>
      <w:r>
        <w:rPr>
          <w:rFonts w:ascii="Times New Roman" w:hAnsi="Times New Roman"/>
          <w:sz w:val="28"/>
          <w:szCs w:val="28"/>
          <w:lang w:eastAsia="uk-UA"/>
        </w:rPr>
        <w:t>7. Формами академічної мобільності для учасників освітнього процесу, що здобувають освітні ступені, бакалавра, магістра та доктора філософії у вітчизняних вищих навчальних закладах, є:</w:t>
      </w:r>
    </w:p>
    <w:p w:rsidR="000179FA" w:rsidRDefault="000179FA" w:rsidP="00104F26">
      <w:pPr>
        <w:spacing w:after="0" w:line="240" w:lineRule="auto"/>
        <w:ind w:firstLine="357"/>
        <w:jc w:val="both"/>
        <w:rPr>
          <w:rFonts w:ascii="Times New Roman" w:hAnsi="Times New Roman"/>
          <w:sz w:val="28"/>
          <w:szCs w:val="28"/>
          <w:lang w:eastAsia="uk-UA"/>
        </w:rPr>
      </w:pPr>
      <w:r>
        <w:rPr>
          <w:rFonts w:ascii="Times New Roman" w:hAnsi="Times New Roman"/>
          <w:sz w:val="28"/>
          <w:szCs w:val="28"/>
          <w:lang w:eastAsia="uk-UA"/>
        </w:rPr>
        <w:t>навчання за програмами академічної мобільності;</w:t>
      </w:r>
    </w:p>
    <w:p w:rsidR="000179FA" w:rsidRDefault="000179FA" w:rsidP="00104F26">
      <w:pPr>
        <w:spacing w:after="0" w:line="240" w:lineRule="auto"/>
        <w:ind w:firstLine="357"/>
        <w:jc w:val="both"/>
        <w:rPr>
          <w:rFonts w:ascii="Times New Roman" w:hAnsi="Times New Roman"/>
          <w:sz w:val="28"/>
          <w:szCs w:val="28"/>
          <w:lang w:eastAsia="uk-UA"/>
        </w:rPr>
      </w:pPr>
      <w:r>
        <w:rPr>
          <w:rFonts w:ascii="Times New Roman" w:hAnsi="Times New Roman"/>
          <w:sz w:val="28"/>
          <w:szCs w:val="28"/>
          <w:lang w:eastAsia="uk-UA"/>
        </w:rPr>
        <w:t>мовне стажування;</w:t>
      </w:r>
    </w:p>
    <w:p w:rsidR="000179FA" w:rsidRDefault="000179FA" w:rsidP="00104F26">
      <w:pPr>
        <w:spacing w:after="0" w:line="240" w:lineRule="auto"/>
        <w:ind w:firstLine="357"/>
        <w:jc w:val="both"/>
        <w:rPr>
          <w:rFonts w:ascii="Times New Roman" w:hAnsi="Times New Roman"/>
          <w:color w:val="FFC000"/>
          <w:sz w:val="28"/>
          <w:szCs w:val="28"/>
          <w:lang w:eastAsia="uk-UA"/>
        </w:rPr>
      </w:pPr>
      <w:r>
        <w:rPr>
          <w:rFonts w:ascii="Times New Roman" w:hAnsi="Times New Roman"/>
          <w:sz w:val="28"/>
          <w:szCs w:val="28"/>
          <w:lang w:eastAsia="uk-UA"/>
        </w:rPr>
        <w:t>наукове стажування.</w:t>
      </w:r>
    </w:p>
    <w:p w:rsidR="000179FA" w:rsidRDefault="000179FA" w:rsidP="00104F26">
      <w:pPr>
        <w:spacing w:after="0" w:line="240" w:lineRule="auto"/>
        <w:ind w:firstLine="357"/>
        <w:jc w:val="both"/>
        <w:rPr>
          <w:rFonts w:ascii="Times New Roman" w:hAnsi="Times New Roman"/>
          <w:sz w:val="28"/>
          <w:szCs w:val="28"/>
          <w:lang w:eastAsia="uk-UA"/>
        </w:rPr>
      </w:pPr>
      <w:r>
        <w:rPr>
          <w:rFonts w:ascii="Times New Roman" w:hAnsi="Times New Roman"/>
          <w:sz w:val="28"/>
          <w:szCs w:val="28"/>
          <w:lang w:eastAsia="uk-UA"/>
        </w:rPr>
        <w:t>8. Формами академічної мобільності для осіб, що здобувають наукову ступінь доктора наук, науково-педагогічних, наукових і педагогічних працівників та інших учасників освітнього процесу, є:</w:t>
      </w:r>
    </w:p>
    <w:p w:rsidR="000179FA" w:rsidRDefault="000179FA" w:rsidP="00104F26">
      <w:pPr>
        <w:spacing w:after="0" w:line="240" w:lineRule="auto"/>
        <w:ind w:firstLine="357"/>
        <w:jc w:val="both"/>
        <w:rPr>
          <w:rFonts w:ascii="Times New Roman" w:hAnsi="Times New Roman"/>
          <w:sz w:val="28"/>
          <w:szCs w:val="28"/>
          <w:lang w:eastAsia="uk-UA"/>
        </w:rPr>
      </w:pPr>
      <w:r>
        <w:rPr>
          <w:rFonts w:ascii="Times New Roman" w:hAnsi="Times New Roman"/>
          <w:sz w:val="28"/>
          <w:szCs w:val="28"/>
          <w:lang w:eastAsia="uk-UA"/>
        </w:rPr>
        <w:t>участь у спільних проектах;</w:t>
      </w:r>
    </w:p>
    <w:p w:rsidR="000179FA" w:rsidRDefault="000179FA" w:rsidP="00104F26">
      <w:pPr>
        <w:spacing w:after="0" w:line="240" w:lineRule="auto"/>
        <w:ind w:firstLine="357"/>
        <w:jc w:val="both"/>
        <w:rPr>
          <w:rFonts w:ascii="Times New Roman" w:hAnsi="Times New Roman"/>
          <w:sz w:val="28"/>
          <w:szCs w:val="28"/>
          <w:lang w:eastAsia="uk-UA"/>
        </w:rPr>
      </w:pPr>
      <w:r>
        <w:rPr>
          <w:rFonts w:ascii="Times New Roman" w:hAnsi="Times New Roman"/>
          <w:sz w:val="28"/>
          <w:szCs w:val="28"/>
          <w:lang w:eastAsia="uk-UA"/>
        </w:rPr>
        <w:t>викладання;</w:t>
      </w:r>
    </w:p>
    <w:p w:rsidR="000179FA" w:rsidRDefault="000179FA" w:rsidP="00104F26">
      <w:pPr>
        <w:spacing w:after="0" w:line="240" w:lineRule="auto"/>
        <w:ind w:firstLine="357"/>
        <w:jc w:val="both"/>
        <w:rPr>
          <w:rFonts w:ascii="Times New Roman" w:hAnsi="Times New Roman"/>
          <w:sz w:val="28"/>
          <w:szCs w:val="28"/>
          <w:lang w:eastAsia="uk-UA"/>
        </w:rPr>
      </w:pPr>
      <w:r>
        <w:rPr>
          <w:rFonts w:ascii="Times New Roman" w:hAnsi="Times New Roman"/>
          <w:sz w:val="28"/>
          <w:szCs w:val="28"/>
          <w:lang w:eastAsia="uk-UA"/>
        </w:rPr>
        <w:t>наукове дослідження;</w:t>
      </w:r>
    </w:p>
    <w:p w:rsidR="000179FA" w:rsidRDefault="000179FA" w:rsidP="00104F26">
      <w:pPr>
        <w:spacing w:after="0" w:line="240" w:lineRule="auto"/>
        <w:ind w:firstLine="357"/>
        <w:jc w:val="both"/>
        <w:rPr>
          <w:rFonts w:ascii="Times New Roman" w:hAnsi="Times New Roman"/>
          <w:sz w:val="28"/>
          <w:szCs w:val="28"/>
          <w:lang w:eastAsia="uk-UA"/>
        </w:rPr>
      </w:pPr>
      <w:r>
        <w:rPr>
          <w:rFonts w:ascii="Times New Roman" w:hAnsi="Times New Roman"/>
          <w:sz w:val="28"/>
          <w:szCs w:val="28"/>
          <w:lang w:eastAsia="uk-UA"/>
        </w:rPr>
        <w:t>наукове стажування;</w:t>
      </w:r>
    </w:p>
    <w:p w:rsidR="000179FA" w:rsidRDefault="000179FA" w:rsidP="00104F26">
      <w:pPr>
        <w:spacing w:after="0" w:line="240" w:lineRule="auto"/>
        <w:ind w:firstLine="357"/>
        <w:jc w:val="both"/>
        <w:rPr>
          <w:rFonts w:ascii="Times New Roman" w:hAnsi="Times New Roman"/>
          <w:sz w:val="28"/>
          <w:szCs w:val="28"/>
          <w:lang w:eastAsia="uk-UA"/>
        </w:rPr>
      </w:pPr>
      <w:r>
        <w:rPr>
          <w:rFonts w:ascii="Times New Roman" w:hAnsi="Times New Roman"/>
          <w:sz w:val="28"/>
          <w:szCs w:val="28"/>
          <w:lang w:eastAsia="uk-UA"/>
        </w:rPr>
        <w:t>підвищення кваліфікації.</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9.Умови навчання і перебування учасників академічної мобільності та інші питання визначаються двосторонніми або багатосторонніми угодами між вищими навчальними закладами-партнерами.</w:t>
      </w:r>
    </w:p>
    <w:p w:rsidR="000179FA" w:rsidRDefault="000179FA" w:rsidP="00104F26">
      <w:pPr>
        <w:tabs>
          <w:tab w:val="left" w:pos="1134"/>
        </w:tabs>
        <w:spacing w:after="0" w:line="240" w:lineRule="auto"/>
        <w:jc w:val="both"/>
        <w:rPr>
          <w:rFonts w:ascii="Times New Roman" w:hAnsi="Times New Roman"/>
          <w:sz w:val="28"/>
          <w:szCs w:val="28"/>
          <w:lang w:eastAsia="ru-RU"/>
        </w:rPr>
      </w:pPr>
    </w:p>
    <w:p w:rsidR="000179FA" w:rsidRDefault="000179FA" w:rsidP="00104F26">
      <w:pPr>
        <w:tabs>
          <w:tab w:val="left" w:pos="1134"/>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2.ЦІЛІ ТА ЗАВДАННЯ АКАДЕМІЧНОЇ МОБІЛЬНОСТІ </w:t>
      </w:r>
    </w:p>
    <w:p w:rsidR="000179FA" w:rsidRDefault="000179FA" w:rsidP="00104F26">
      <w:pPr>
        <w:tabs>
          <w:tab w:val="left" w:pos="1134"/>
        </w:tabs>
        <w:spacing w:after="0" w:line="240" w:lineRule="auto"/>
        <w:jc w:val="center"/>
        <w:rPr>
          <w:rFonts w:ascii="Times New Roman" w:hAnsi="Times New Roman"/>
          <w:sz w:val="28"/>
          <w:szCs w:val="28"/>
          <w:lang w:eastAsia="ru-RU"/>
        </w:rPr>
      </w:pPr>
    </w:p>
    <w:p w:rsidR="000179FA" w:rsidRDefault="000179FA" w:rsidP="00104F26">
      <w:pPr>
        <w:tabs>
          <w:tab w:val="left" w:pos="567"/>
          <w:tab w:val="left" w:pos="1134"/>
        </w:tabs>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1. Основними цілями академічної мобільності учасників освітнього процесу в ХДУ є:</w:t>
      </w:r>
    </w:p>
    <w:p w:rsidR="000179FA" w:rsidRDefault="000179FA" w:rsidP="00104F26">
      <w:pPr>
        <w:tabs>
          <w:tab w:val="left" w:pos="567"/>
        </w:tabs>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ab/>
        <w:t>підвищення якості вищої освіти;</w:t>
      </w:r>
    </w:p>
    <w:p w:rsidR="000179FA" w:rsidRDefault="000179FA" w:rsidP="00104F26">
      <w:pPr>
        <w:tabs>
          <w:tab w:val="left" w:pos="567"/>
        </w:tabs>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ab/>
        <w:t>підвищення ефективності наукових досліджень;</w:t>
      </w:r>
    </w:p>
    <w:p w:rsidR="000179FA" w:rsidRDefault="000179FA" w:rsidP="00104F26">
      <w:pPr>
        <w:tabs>
          <w:tab w:val="left" w:pos="567"/>
        </w:tabs>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ab/>
        <w:t>підвищення конкурентоздатності випускників ХДУ на українському та міжнародному ринках освітніх послуг та праці;</w:t>
      </w:r>
    </w:p>
    <w:p w:rsidR="000179FA" w:rsidRDefault="000179FA" w:rsidP="00104F26">
      <w:pPr>
        <w:tabs>
          <w:tab w:val="left" w:pos="567"/>
        </w:tabs>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ab/>
        <w:t>збагачення індивідуального досвіду здобувачів вищої освіти щодо інших моделей створення та поширення знань;</w:t>
      </w:r>
    </w:p>
    <w:p w:rsidR="000179FA" w:rsidRDefault="000179FA" w:rsidP="00104F26">
      <w:pPr>
        <w:tabs>
          <w:tab w:val="left" w:pos="567"/>
        </w:tabs>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залучення світового інтелектуального потенціалу до вітчизняного освітнього процесу на основі двосторонніх та багатосторонніх угод між вищими навчальними закладами-партнерами;</w:t>
      </w:r>
    </w:p>
    <w:p w:rsidR="000179FA" w:rsidRDefault="000179FA" w:rsidP="00104F26">
      <w:pPr>
        <w:tabs>
          <w:tab w:val="left" w:pos="567"/>
        </w:tabs>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ab/>
        <w:t>встановлення внутрішніх та зовнішніх інтеграційних зв’язків;</w:t>
      </w:r>
    </w:p>
    <w:p w:rsidR="000179FA" w:rsidRDefault="000179FA" w:rsidP="00104F26">
      <w:pPr>
        <w:tabs>
          <w:tab w:val="left" w:pos="567"/>
        </w:tabs>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ab/>
        <w:t>гармонізація освітніх стандартів вищих навчальних закладів-партнерів.</w:t>
      </w:r>
    </w:p>
    <w:p w:rsidR="000179FA" w:rsidRDefault="000179FA" w:rsidP="00104F26">
      <w:pPr>
        <w:tabs>
          <w:tab w:val="left" w:pos="1276"/>
        </w:tabs>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2. Основними завданнями академічної мобільності учасників освітнього процесу ХДУ є :</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 xml:space="preserve">підвищення рівня теоретичної та практичної підготовки, проведення досліджень з використанням сучасного обладнання і технологій, опанування новітніми методами дослідження, набуття досвіду проведення науково-дослідної роботи та впровадження її результатів; </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 xml:space="preserve">здійснення наукових досліджень, обмін досвідом викладацької діяльності, вдосконалення професійного досвіду за науковою спеціальністю </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набуття професійного досвіду під час проходження навчальних та виробничих практик;</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можливість одночасного отримання студентом двох документів про вищу освіту з додатками встановленого у вищих навчальних закладах-партнерах зразка та інформацією про систему оцінювання в них навчальних здобутків студентів;</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підвищення рівня володіння іноземними мовами;</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посилення інтеграції освіти і науки, розвиток подальших наукових досліджень, поглиблення знань національних культур інших країн, а також поширення знань про мову, культуру, освіту і науку України;</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підтримка соціальних, економічних, культурних, політичних взаємовідносин  та зв’я</w:t>
      </w:r>
      <w:bookmarkStart w:id="0" w:name="_GoBack"/>
      <w:bookmarkEnd w:id="0"/>
      <w:r>
        <w:rPr>
          <w:rFonts w:ascii="Times New Roman" w:hAnsi="Times New Roman"/>
          <w:sz w:val="28"/>
          <w:szCs w:val="28"/>
          <w:lang w:eastAsia="ru-RU"/>
        </w:rPr>
        <w:t>зків з іншими країнами</w:t>
      </w:r>
    </w:p>
    <w:p w:rsidR="000179FA" w:rsidRDefault="000179FA" w:rsidP="00104F26">
      <w:pPr>
        <w:spacing w:after="0" w:line="240" w:lineRule="auto"/>
        <w:ind w:firstLine="357"/>
        <w:jc w:val="both"/>
        <w:rPr>
          <w:rFonts w:ascii="Times New Roman" w:hAnsi="Times New Roman"/>
          <w:sz w:val="28"/>
          <w:szCs w:val="28"/>
          <w:lang w:eastAsia="ru-RU"/>
        </w:rPr>
      </w:pPr>
    </w:p>
    <w:p w:rsidR="000179FA" w:rsidRDefault="000179FA" w:rsidP="00104F26">
      <w:pPr>
        <w:spacing w:after="0" w:line="240" w:lineRule="auto"/>
        <w:ind w:firstLine="357"/>
        <w:jc w:val="center"/>
        <w:rPr>
          <w:rFonts w:ascii="Times New Roman" w:hAnsi="Times New Roman"/>
          <w:sz w:val="28"/>
          <w:szCs w:val="28"/>
          <w:lang w:eastAsia="ru-RU"/>
        </w:rPr>
      </w:pPr>
      <w:r>
        <w:rPr>
          <w:rFonts w:ascii="Times New Roman" w:hAnsi="Times New Roman"/>
          <w:sz w:val="28"/>
          <w:szCs w:val="28"/>
          <w:lang w:eastAsia="ru-RU"/>
        </w:rPr>
        <w:t>3. НОРМАТИВНО-ПРАВОВА БАЗА ПРОГРАМ АКАДЕМІЧНОЇ МОБІЛЬНОСТІ ЗДОБУВАЧІВ ВИЩОЇ ОСВІТИ</w:t>
      </w:r>
    </w:p>
    <w:p w:rsidR="000179FA" w:rsidRDefault="000179FA" w:rsidP="00104F26">
      <w:pPr>
        <w:spacing w:after="0" w:line="240" w:lineRule="auto"/>
        <w:ind w:firstLine="357"/>
        <w:jc w:val="both"/>
        <w:rPr>
          <w:rFonts w:ascii="Times New Roman" w:hAnsi="Times New Roman"/>
          <w:sz w:val="28"/>
          <w:szCs w:val="28"/>
          <w:lang w:eastAsia="ru-RU"/>
        </w:rPr>
      </w:pPr>
    </w:p>
    <w:p w:rsidR="000179FA" w:rsidRDefault="000179FA" w:rsidP="00104F26">
      <w:pPr>
        <w:pStyle w:val="ListParagraph"/>
        <w:numPr>
          <w:ilvl w:val="0"/>
          <w:numId w:val="5"/>
        </w:numPr>
        <w:tabs>
          <w:tab w:val="num" w:pos="0"/>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Це Положення розроблено відповідно до:</w:t>
      </w:r>
    </w:p>
    <w:p w:rsidR="000179FA" w:rsidRDefault="000179FA" w:rsidP="00104F26">
      <w:pPr>
        <w:tabs>
          <w:tab w:val="num" w:pos="567"/>
        </w:tabs>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 xml:space="preserve">Закону України «Про вищу освіту»; </w:t>
      </w:r>
    </w:p>
    <w:p w:rsidR="000179FA" w:rsidRDefault="000179FA" w:rsidP="00104F26">
      <w:pPr>
        <w:tabs>
          <w:tab w:val="num" w:pos="567"/>
        </w:tabs>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 xml:space="preserve">Закону України «Про освіту»; </w:t>
      </w:r>
    </w:p>
    <w:p w:rsidR="000179FA" w:rsidRDefault="000179FA" w:rsidP="00104F26">
      <w:pPr>
        <w:tabs>
          <w:tab w:val="num" w:pos="567"/>
        </w:tabs>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 xml:space="preserve">Закону України «Про правовий статус іноземців та осіб без громадянства» (із змінами); </w:t>
      </w:r>
    </w:p>
    <w:p w:rsidR="000179FA" w:rsidRDefault="000179FA" w:rsidP="00104F26">
      <w:pPr>
        <w:tabs>
          <w:tab w:val="num" w:pos="567"/>
        </w:tabs>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Постанови Кабінету Міністрів України від 13 квітня 2011 р. № 411 «Питання навчання студентів та аспірантів, стажування наукових і науково-педагогічних працівників у провідних вищих навчальних закладах та наукових установах за кордоном»;</w:t>
      </w:r>
    </w:p>
    <w:p w:rsidR="000179FA" w:rsidRDefault="000179FA" w:rsidP="00104F26">
      <w:pPr>
        <w:tabs>
          <w:tab w:val="num" w:pos="567"/>
        </w:tabs>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Постанови Кабінету Міністрів України від 12 серпня 2015 р. № 579 «Про затвердження Положення про порядок реалізації права на академічну мобільність»</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Наказу Міністерства освіти і науки України від 29 травня 2013 р. № 635 «Щодо затвердження Примірного положення про академічну мобільність студентів вищих навчальних закладів України»;</w:t>
      </w:r>
    </w:p>
    <w:p w:rsidR="000179FA" w:rsidRDefault="000179FA" w:rsidP="00104F26">
      <w:pPr>
        <w:tabs>
          <w:tab w:val="left" w:pos="0"/>
        </w:tabs>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Інших нормативно-правових актів в галузі вищої освіти.</w:t>
      </w:r>
    </w:p>
    <w:p w:rsidR="000179FA" w:rsidRDefault="000179FA" w:rsidP="00104F26">
      <w:pPr>
        <w:spacing w:after="0" w:line="240" w:lineRule="auto"/>
        <w:ind w:firstLine="357"/>
        <w:jc w:val="both"/>
        <w:textAlignment w:val="top"/>
        <w:rPr>
          <w:rFonts w:ascii="Times New Roman" w:hAnsi="Times New Roman"/>
          <w:sz w:val="28"/>
          <w:szCs w:val="28"/>
          <w:lang w:eastAsia="uk-UA"/>
        </w:rPr>
      </w:pPr>
    </w:p>
    <w:p w:rsidR="000179FA" w:rsidRDefault="000179FA" w:rsidP="00104F26">
      <w:pPr>
        <w:spacing w:after="0" w:line="240" w:lineRule="auto"/>
        <w:ind w:firstLine="357"/>
        <w:jc w:val="center"/>
        <w:textAlignment w:val="top"/>
        <w:rPr>
          <w:rFonts w:ascii="Times New Roman" w:hAnsi="Times New Roman"/>
          <w:sz w:val="28"/>
          <w:szCs w:val="28"/>
          <w:lang w:eastAsia="uk-UA"/>
        </w:rPr>
      </w:pPr>
      <w:r>
        <w:rPr>
          <w:rFonts w:ascii="Times New Roman" w:hAnsi="Times New Roman"/>
          <w:sz w:val="28"/>
          <w:szCs w:val="28"/>
          <w:lang w:eastAsia="uk-UA"/>
        </w:rPr>
        <w:t>4. ОРГАНІЗАЦІЙНЕ ЗАБЕЗПЕЧЕННЯ АКАДЕМІЧНОЇ МОБІЛЬНОСТІ</w:t>
      </w:r>
    </w:p>
    <w:p w:rsidR="000179FA" w:rsidRDefault="000179FA" w:rsidP="00104F26">
      <w:pPr>
        <w:tabs>
          <w:tab w:val="left" w:pos="0"/>
        </w:tabs>
        <w:spacing w:after="0" w:line="240" w:lineRule="auto"/>
        <w:ind w:firstLine="357"/>
        <w:jc w:val="both"/>
        <w:rPr>
          <w:rFonts w:ascii="Times New Roman" w:hAnsi="Times New Roman"/>
          <w:sz w:val="28"/>
          <w:szCs w:val="28"/>
          <w:lang w:eastAsia="ru-RU"/>
        </w:rPr>
      </w:pPr>
    </w:p>
    <w:p w:rsidR="000179FA" w:rsidRDefault="000179FA" w:rsidP="00104F26">
      <w:pPr>
        <w:tabs>
          <w:tab w:val="left" w:pos="1134"/>
          <w:tab w:val="left" w:pos="1418"/>
        </w:tabs>
        <w:spacing w:after="0" w:line="240" w:lineRule="auto"/>
        <w:ind w:firstLine="357"/>
        <w:jc w:val="both"/>
        <w:textAlignment w:val="top"/>
        <w:rPr>
          <w:rFonts w:ascii="Times New Roman" w:hAnsi="Times New Roman"/>
          <w:sz w:val="28"/>
          <w:szCs w:val="28"/>
          <w:lang w:eastAsia="uk-UA"/>
        </w:rPr>
      </w:pPr>
      <w:r>
        <w:rPr>
          <w:rFonts w:ascii="Times New Roman" w:hAnsi="Times New Roman"/>
          <w:sz w:val="28"/>
          <w:szCs w:val="28"/>
          <w:lang w:eastAsia="ru-RU"/>
        </w:rPr>
        <w:t>1. До участі у програмах академічної мобільності допускаються здобувачі вищої освіти, починаючи з другого курсу рівня вищої освіти «бакалавр».</w:t>
      </w:r>
      <w:r>
        <w:rPr>
          <w:rFonts w:ascii="Times New Roman" w:hAnsi="Times New Roman"/>
          <w:sz w:val="28"/>
          <w:szCs w:val="28"/>
          <w:lang w:eastAsia="uk-UA"/>
        </w:rPr>
        <w:t xml:space="preserve"> </w:t>
      </w:r>
    </w:p>
    <w:p w:rsidR="000179FA" w:rsidRDefault="000179FA" w:rsidP="00104F26">
      <w:pPr>
        <w:spacing w:after="0" w:line="240" w:lineRule="auto"/>
        <w:ind w:firstLine="357"/>
        <w:jc w:val="both"/>
        <w:textAlignment w:val="top"/>
        <w:rPr>
          <w:rFonts w:ascii="Times New Roman" w:hAnsi="Times New Roman"/>
          <w:sz w:val="28"/>
          <w:szCs w:val="28"/>
          <w:lang w:eastAsia="uk-UA"/>
        </w:rPr>
      </w:pPr>
      <w:r>
        <w:rPr>
          <w:rFonts w:ascii="Times New Roman" w:hAnsi="Times New Roman"/>
          <w:sz w:val="28"/>
          <w:szCs w:val="28"/>
          <w:lang w:eastAsia="uk-UA"/>
        </w:rPr>
        <w:t xml:space="preserve">2. Відбір студентів для участі в програмах академічної мобільності здійснюється конкурсною комісією ХДУ з урахуванням рейтингу успішності, участі у науковій роботі та знання іноземної мови. </w:t>
      </w:r>
    </w:p>
    <w:p w:rsidR="000179FA" w:rsidRDefault="000179FA" w:rsidP="00104F26">
      <w:pPr>
        <w:spacing w:after="0" w:line="240" w:lineRule="auto"/>
        <w:ind w:firstLine="357"/>
        <w:jc w:val="both"/>
        <w:textAlignment w:val="top"/>
        <w:rPr>
          <w:rFonts w:ascii="Times New Roman" w:hAnsi="Times New Roman"/>
          <w:sz w:val="28"/>
          <w:szCs w:val="28"/>
          <w:lang w:eastAsia="uk-UA"/>
        </w:rPr>
      </w:pPr>
      <w:r>
        <w:rPr>
          <w:rFonts w:ascii="Times New Roman" w:hAnsi="Times New Roman"/>
          <w:sz w:val="28"/>
          <w:szCs w:val="28"/>
          <w:lang w:eastAsia="uk-UA"/>
        </w:rPr>
        <w:t xml:space="preserve">Конкурсну комісію очолює ректор ХДУ або проректор за відповідним напрямком діяльності. </w:t>
      </w:r>
    </w:p>
    <w:p w:rsidR="000179FA" w:rsidRDefault="000179FA" w:rsidP="00104F26">
      <w:pPr>
        <w:spacing w:after="0" w:line="240" w:lineRule="auto"/>
        <w:ind w:firstLine="357"/>
        <w:jc w:val="both"/>
        <w:textAlignment w:val="top"/>
        <w:rPr>
          <w:rFonts w:ascii="Times New Roman" w:hAnsi="Times New Roman"/>
          <w:sz w:val="28"/>
          <w:szCs w:val="28"/>
          <w:lang w:eastAsia="uk-UA"/>
        </w:rPr>
      </w:pPr>
      <w:r>
        <w:rPr>
          <w:rFonts w:ascii="Times New Roman" w:hAnsi="Times New Roman"/>
          <w:sz w:val="28"/>
          <w:szCs w:val="28"/>
          <w:lang w:eastAsia="uk-UA"/>
        </w:rPr>
        <w:t>Склад конкурсної комісії визначає та затверджує ректор ХДУ за умови обов'язкової участі в її роботі представників органів студентського самоврядування.</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У випадку, якщо здобувач вищої освіти бере участь у міжнародній програмі академічної мобільності, конкурсний відбір здійснюється організацією, яка надає студенту грант на умовах і за критеріями, визначеними в установчих документах конкурсу.</w:t>
      </w:r>
    </w:p>
    <w:p w:rsidR="000179FA" w:rsidRDefault="000179FA" w:rsidP="00104F26">
      <w:pPr>
        <w:spacing w:after="0" w:line="240" w:lineRule="auto"/>
        <w:ind w:firstLine="357"/>
        <w:jc w:val="both"/>
        <w:rPr>
          <w:rFonts w:ascii="Times New Roman" w:hAnsi="Times New Roman"/>
          <w:sz w:val="28"/>
          <w:szCs w:val="28"/>
          <w:lang w:eastAsia="uk-UA"/>
        </w:rPr>
      </w:pPr>
      <w:r>
        <w:rPr>
          <w:rFonts w:ascii="Times New Roman" w:hAnsi="Times New Roman"/>
          <w:sz w:val="28"/>
          <w:szCs w:val="28"/>
          <w:lang w:eastAsia="uk-UA"/>
        </w:rPr>
        <w:t>3. Іноземні здобувачі вищої освіти, що реалізують право на академічну мобільність в рамках договорів про співробітництво між вітчизняними та іноземними вищими навчальними закладами (науковими установами) — партнерами, можуть бути зараховані на навчання до вітчизняних вищих навчальних закладів:</w:t>
      </w:r>
    </w:p>
    <w:p w:rsidR="000179FA" w:rsidRDefault="000179FA" w:rsidP="00104F26">
      <w:pPr>
        <w:spacing w:after="0" w:line="240" w:lineRule="auto"/>
        <w:ind w:firstLine="357"/>
        <w:jc w:val="both"/>
        <w:rPr>
          <w:rFonts w:ascii="Times New Roman" w:hAnsi="Times New Roman"/>
          <w:sz w:val="28"/>
          <w:szCs w:val="28"/>
          <w:lang w:eastAsia="uk-UA"/>
        </w:rPr>
      </w:pPr>
      <w:r>
        <w:rPr>
          <w:rFonts w:ascii="Times New Roman" w:hAnsi="Times New Roman"/>
          <w:sz w:val="28"/>
          <w:szCs w:val="28"/>
          <w:lang w:eastAsia="uk-UA"/>
        </w:rPr>
        <w:t>за рахунок коштів міжнародних програм та організацій;</w:t>
      </w:r>
    </w:p>
    <w:p w:rsidR="000179FA" w:rsidRDefault="000179FA" w:rsidP="00104F26">
      <w:pPr>
        <w:spacing w:after="0" w:line="240" w:lineRule="auto"/>
        <w:ind w:firstLine="357"/>
        <w:jc w:val="both"/>
        <w:rPr>
          <w:rFonts w:ascii="Times New Roman" w:hAnsi="Times New Roman"/>
          <w:sz w:val="28"/>
          <w:szCs w:val="28"/>
          <w:lang w:eastAsia="uk-UA"/>
        </w:rPr>
      </w:pPr>
      <w:r>
        <w:rPr>
          <w:rFonts w:ascii="Times New Roman" w:hAnsi="Times New Roman"/>
          <w:sz w:val="28"/>
          <w:szCs w:val="28"/>
          <w:lang w:eastAsia="uk-UA"/>
        </w:rPr>
        <w:t>за рахунок власних надходжень вищих навчальних закладів;</w:t>
      </w:r>
    </w:p>
    <w:p w:rsidR="000179FA" w:rsidRDefault="000179FA" w:rsidP="00104F26">
      <w:pPr>
        <w:spacing w:after="0" w:line="240" w:lineRule="auto"/>
        <w:ind w:firstLine="357"/>
        <w:jc w:val="both"/>
        <w:rPr>
          <w:rFonts w:ascii="Times New Roman" w:hAnsi="Times New Roman"/>
          <w:sz w:val="28"/>
          <w:szCs w:val="28"/>
          <w:lang w:eastAsia="uk-UA"/>
        </w:rPr>
      </w:pPr>
      <w:r>
        <w:rPr>
          <w:rFonts w:ascii="Times New Roman" w:hAnsi="Times New Roman"/>
          <w:sz w:val="28"/>
          <w:szCs w:val="28"/>
          <w:lang w:eastAsia="uk-UA"/>
        </w:rPr>
        <w:t>за рахунок коштів фізичних або юридичних осіб;</w:t>
      </w:r>
    </w:p>
    <w:p w:rsidR="000179FA" w:rsidRDefault="000179FA" w:rsidP="00104F26">
      <w:pPr>
        <w:spacing w:after="0" w:line="240" w:lineRule="auto"/>
        <w:ind w:firstLine="357"/>
        <w:jc w:val="both"/>
        <w:rPr>
          <w:rFonts w:ascii="Times New Roman" w:hAnsi="Times New Roman"/>
          <w:sz w:val="28"/>
          <w:szCs w:val="28"/>
          <w:lang w:eastAsia="uk-UA"/>
        </w:rPr>
      </w:pPr>
      <w:r>
        <w:rPr>
          <w:rFonts w:ascii="Times New Roman" w:hAnsi="Times New Roman"/>
          <w:sz w:val="28"/>
          <w:szCs w:val="28"/>
          <w:lang w:eastAsia="uk-UA"/>
        </w:rPr>
        <w:t>на умовах безоплатного навчання у разі взаємного обміну здобувачами вищої освіти, в тому числі за спільними освітніми програмами, які передбачають отримання спільного або подвійного документа (документів) про вищу освіту на умовах безоплатного навчання у разі міжнародного обміну здобувачами вищої освіти, якщо кількість таких іноземних здобувачів вищої освіти не перевищує кількість вітчизняних здобувачів вищої освіти, які навчаються в іноземному вищому навчальному закладі — партнері в межах програм академічної мобільності відповідно до укладених між вищими навчальними закладами договорів про міжнародну академічну мобільність.</w:t>
      </w:r>
    </w:p>
    <w:p w:rsidR="000179FA" w:rsidRDefault="000179FA" w:rsidP="00104F26">
      <w:pPr>
        <w:spacing w:after="0" w:line="240" w:lineRule="auto"/>
        <w:ind w:firstLine="357"/>
        <w:jc w:val="both"/>
        <w:rPr>
          <w:rFonts w:ascii="Times New Roman" w:hAnsi="Times New Roman"/>
          <w:sz w:val="28"/>
          <w:szCs w:val="28"/>
          <w:lang w:eastAsia="uk-UA"/>
        </w:rPr>
      </w:pPr>
    </w:p>
    <w:p w:rsidR="000179FA" w:rsidRDefault="000179FA" w:rsidP="00104F26">
      <w:pPr>
        <w:spacing w:after="0" w:line="240" w:lineRule="auto"/>
        <w:ind w:firstLine="357"/>
        <w:jc w:val="both"/>
        <w:textAlignment w:val="top"/>
        <w:rPr>
          <w:rFonts w:ascii="Times New Roman" w:hAnsi="Times New Roman"/>
          <w:sz w:val="28"/>
          <w:szCs w:val="28"/>
          <w:lang w:eastAsia="uk-UA"/>
        </w:rPr>
      </w:pPr>
      <w:r>
        <w:rPr>
          <w:rFonts w:ascii="Times New Roman" w:hAnsi="Times New Roman"/>
          <w:sz w:val="28"/>
          <w:szCs w:val="28"/>
          <w:lang w:eastAsia="ru-RU"/>
        </w:rPr>
        <w:t>5. ВИЗНАННЯ ТА ПЕРЕЗАРАХУВАННЯ РЕЗУЛЬТАТІВ НАВЧАННЯ У ВИЩОМУ НАВЧАЛЬНОМУ ЗАКЛАДІ-ПАРТНЕРІ</w:t>
      </w:r>
    </w:p>
    <w:p w:rsidR="000179FA" w:rsidRDefault="000179FA" w:rsidP="00104F26">
      <w:pPr>
        <w:spacing w:after="0" w:line="240" w:lineRule="auto"/>
        <w:ind w:firstLine="357"/>
        <w:jc w:val="both"/>
        <w:rPr>
          <w:rFonts w:ascii="Times New Roman" w:hAnsi="Times New Roman"/>
          <w:sz w:val="28"/>
          <w:szCs w:val="28"/>
          <w:lang w:eastAsia="ru-RU"/>
        </w:rPr>
      </w:pP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1. ХДУ визнає еквівалентними та перезараховує результати навчання здобувача вищої освіти у вищому навчальному закладі-партнері.</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2. Визнання результатів навчання в рамках академічного співробітництва з вищими навчальними закладами-партнерами здійснюється з використанням європейської системи трансферу та накопичення кредитів ECTS або з використанням системи оцінювання навчальних здобутків, прийнятої у країні вищого навчального закладу-партнера, якщо в ній не передбачено застосування ЕСТS.</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3. Навчальні дисципліни та інші види навчальної діяльності зазначаються в індивідуальному навчальному плані здобувача вищої освіти.</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4. Перезарахування вивчених навчальних дисциплін здійснюється на підставі наданого документа з переліком та результатами вивчення навчальних дисциплін, кількістю кредитів та інформацією про систему оцінювання навчальних здобутків, завіреного в установленому порядку у вищому навчальному закладі-партнері.</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5. Академічна різниця нормативних та вибіркових навчальних дисциплін за індивідуальним навчальним планом визначається ХДУ, але не повинна перевищувати 10 навчальних дисциплін.</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 xml:space="preserve">Порядок ліквідації академічної різниці визначається вищими навчальними закладами-партнерами відповідно до законодавства. </w:t>
      </w:r>
    </w:p>
    <w:p w:rsidR="000179FA" w:rsidRDefault="000179FA" w:rsidP="00104F26">
      <w:pPr>
        <w:spacing w:after="0" w:line="240" w:lineRule="auto"/>
        <w:ind w:firstLine="357"/>
        <w:jc w:val="both"/>
        <w:rPr>
          <w:rFonts w:ascii="Times New Roman" w:hAnsi="Times New Roman"/>
          <w:sz w:val="28"/>
          <w:szCs w:val="28"/>
          <w:lang w:val="ru-RU" w:eastAsia="ru-RU"/>
        </w:rPr>
      </w:pPr>
      <w:r>
        <w:rPr>
          <w:rFonts w:ascii="Times New Roman" w:hAnsi="Times New Roman"/>
          <w:sz w:val="28"/>
          <w:szCs w:val="28"/>
          <w:lang w:eastAsia="ru-RU"/>
        </w:rPr>
        <w:t>6. Результати підсумкової атестації у період навчання у вищому навчальному закладі-партнері представляються за шкалою, прийнятою у вищому навчальному закладі-партнері і переводяться у шкалу, прийняту у ХДУ.</w:t>
      </w:r>
    </w:p>
    <w:p w:rsidR="000179FA" w:rsidRDefault="000179FA" w:rsidP="00104F26">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Для студентів-учасників програми «Подвійний диплом», студентів, які проходили (проходять) навчання на підставі підписаних ХДУ угод, визнання (зарахування) результатів навчання у ВНЗ-партнерах з дисциплін, що визначені у «Протоколі еквівалентності» або в угоді про академічне співробітництво, здійснюється розпорядженням проректора з навчальної та науково-педагогічної роботи на підставі інформації про результати навчання у ВНЗ-партнері, завіреної в установленому порядку, за поданням декана факультету або координатора Програми.</w:t>
      </w:r>
    </w:p>
    <w:p w:rsidR="000179FA" w:rsidRDefault="000179FA" w:rsidP="00104F26">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При зарахуванні застосовується наступна шкала оцінок у ВНЗ-партнері, сумісна зі шкалою оцінювання ХДУ:</w:t>
      </w:r>
    </w:p>
    <w:p w:rsidR="000179FA" w:rsidRDefault="000179FA" w:rsidP="00104F26">
      <w:pPr>
        <w:spacing w:after="0" w:line="240" w:lineRule="auto"/>
        <w:ind w:firstLine="540"/>
        <w:jc w:val="both"/>
        <w:rPr>
          <w:rFonts w:ascii="Times New Roman" w:hAnsi="Times New Roman"/>
          <w:sz w:val="28"/>
          <w:szCs w:val="28"/>
          <w:lang w:eastAsia="ru-RU"/>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561"/>
        <w:gridCol w:w="1561"/>
        <w:gridCol w:w="846"/>
        <w:gridCol w:w="1441"/>
        <w:gridCol w:w="1621"/>
        <w:gridCol w:w="1562"/>
        <w:gridCol w:w="843"/>
      </w:tblGrid>
      <w:tr w:rsidR="000179FA" w:rsidTr="00104F26">
        <w:tc>
          <w:tcPr>
            <w:tcW w:w="3965" w:type="dxa"/>
            <w:gridSpan w:val="3"/>
            <w:tcBorders>
              <w:right w:val="single" w:sz="12" w:space="0" w:color="auto"/>
            </w:tcBorders>
          </w:tcPr>
          <w:p w:rsidR="000179FA" w:rsidRDefault="000179F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Система-оцінювання ВНЗ-партнера</w:t>
            </w:r>
          </w:p>
        </w:tc>
        <w:tc>
          <w:tcPr>
            <w:tcW w:w="5463" w:type="dxa"/>
            <w:gridSpan w:val="4"/>
            <w:tcBorders>
              <w:left w:val="single" w:sz="12" w:space="0" w:color="auto"/>
            </w:tcBorders>
          </w:tcPr>
          <w:p w:rsidR="000179FA" w:rsidRDefault="000179F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Система оцінювання ХДУ</w:t>
            </w:r>
          </w:p>
        </w:tc>
      </w:tr>
      <w:tr w:rsidR="000179FA" w:rsidTr="00104F26">
        <w:tc>
          <w:tcPr>
            <w:tcW w:w="1560" w:type="dxa"/>
          </w:tcPr>
          <w:p w:rsidR="000179FA" w:rsidRDefault="000179F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Середній бал</w:t>
            </w:r>
          </w:p>
        </w:tc>
        <w:tc>
          <w:tcPr>
            <w:tcW w:w="1560" w:type="dxa"/>
          </w:tcPr>
          <w:p w:rsidR="000179FA" w:rsidRDefault="000179F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Оцінка</w:t>
            </w:r>
          </w:p>
        </w:tc>
        <w:tc>
          <w:tcPr>
            <w:tcW w:w="845" w:type="dxa"/>
            <w:tcBorders>
              <w:right w:val="single" w:sz="12" w:space="0" w:color="auto"/>
            </w:tcBorders>
          </w:tcPr>
          <w:p w:rsidR="000179FA" w:rsidRDefault="000179F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ЄКТС</w:t>
            </w:r>
          </w:p>
        </w:tc>
        <w:tc>
          <w:tcPr>
            <w:tcW w:w="3060" w:type="dxa"/>
            <w:gridSpan w:val="2"/>
            <w:tcBorders>
              <w:left w:val="single" w:sz="12" w:space="0" w:color="auto"/>
            </w:tcBorders>
          </w:tcPr>
          <w:p w:rsidR="000179FA" w:rsidRDefault="000179F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Національна система</w:t>
            </w:r>
          </w:p>
        </w:tc>
        <w:tc>
          <w:tcPr>
            <w:tcW w:w="1561" w:type="dxa"/>
          </w:tcPr>
          <w:p w:rsidR="000179FA" w:rsidRDefault="000179F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100-бальна шкала</w:t>
            </w:r>
          </w:p>
        </w:tc>
        <w:tc>
          <w:tcPr>
            <w:tcW w:w="842" w:type="dxa"/>
          </w:tcPr>
          <w:p w:rsidR="000179FA" w:rsidRDefault="000179F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ЄКТС</w:t>
            </w:r>
          </w:p>
        </w:tc>
      </w:tr>
      <w:tr w:rsidR="000179FA" w:rsidTr="00104F26">
        <w:tc>
          <w:tcPr>
            <w:tcW w:w="1560" w:type="dxa"/>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2.0-2.99 = 2</w:t>
            </w:r>
          </w:p>
        </w:tc>
        <w:tc>
          <w:tcPr>
            <w:tcW w:w="1560" w:type="dxa"/>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недостатньо</w:t>
            </w:r>
          </w:p>
        </w:tc>
        <w:tc>
          <w:tcPr>
            <w:tcW w:w="845" w:type="dxa"/>
            <w:tcBorders>
              <w:right w:val="single" w:sz="12" w:space="0" w:color="auto"/>
            </w:tcBorders>
          </w:tcPr>
          <w:p w:rsidR="000179FA" w:rsidRDefault="000179FA">
            <w:pPr>
              <w:spacing w:after="0" w:line="240" w:lineRule="auto"/>
              <w:jc w:val="both"/>
              <w:rPr>
                <w:rFonts w:ascii="Times New Roman" w:hAnsi="Times New Roman"/>
                <w:sz w:val="28"/>
                <w:szCs w:val="28"/>
                <w:lang w:val="en-US" w:eastAsia="ru-RU"/>
              </w:rPr>
            </w:pPr>
            <w:r>
              <w:rPr>
                <w:rFonts w:ascii="Times New Roman" w:hAnsi="Times New Roman"/>
                <w:sz w:val="28"/>
                <w:szCs w:val="28"/>
                <w:lang w:val="en-US" w:eastAsia="ru-RU"/>
              </w:rPr>
              <w:t>F</w:t>
            </w:r>
          </w:p>
        </w:tc>
        <w:tc>
          <w:tcPr>
            <w:tcW w:w="1440" w:type="dxa"/>
            <w:tcBorders>
              <w:left w:val="single" w:sz="12" w:space="0" w:color="auto"/>
            </w:tcBorders>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незадовільно</w:t>
            </w:r>
          </w:p>
        </w:tc>
        <w:tc>
          <w:tcPr>
            <w:tcW w:w="1620" w:type="dxa"/>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не зараховано</w:t>
            </w:r>
          </w:p>
        </w:tc>
        <w:tc>
          <w:tcPr>
            <w:tcW w:w="1561" w:type="dxa"/>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35</w:t>
            </w:r>
          </w:p>
        </w:tc>
        <w:tc>
          <w:tcPr>
            <w:tcW w:w="842" w:type="dxa"/>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val="en-US" w:eastAsia="ru-RU"/>
              </w:rPr>
              <w:t>FX</w:t>
            </w:r>
          </w:p>
        </w:tc>
      </w:tr>
      <w:tr w:rsidR="000179FA" w:rsidTr="00104F26">
        <w:tc>
          <w:tcPr>
            <w:tcW w:w="1560" w:type="dxa"/>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3.0-3.24 = 3</w:t>
            </w:r>
          </w:p>
        </w:tc>
        <w:tc>
          <w:tcPr>
            <w:tcW w:w="1560" w:type="dxa"/>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достатньо</w:t>
            </w:r>
          </w:p>
        </w:tc>
        <w:tc>
          <w:tcPr>
            <w:tcW w:w="845" w:type="dxa"/>
            <w:tcBorders>
              <w:right w:val="single" w:sz="12" w:space="0" w:color="auto"/>
            </w:tcBorders>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Е</w:t>
            </w:r>
          </w:p>
        </w:tc>
        <w:tc>
          <w:tcPr>
            <w:tcW w:w="1440" w:type="dxa"/>
            <w:tcBorders>
              <w:left w:val="single" w:sz="12" w:space="0" w:color="auto"/>
            </w:tcBorders>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задовільно</w:t>
            </w:r>
          </w:p>
        </w:tc>
        <w:tc>
          <w:tcPr>
            <w:tcW w:w="1620" w:type="dxa"/>
            <w:vMerge w:val="restart"/>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зараховано</w:t>
            </w:r>
          </w:p>
        </w:tc>
        <w:tc>
          <w:tcPr>
            <w:tcW w:w="1561" w:type="dxa"/>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60</w:t>
            </w:r>
          </w:p>
        </w:tc>
        <w:tc>
          <w:tcPr>
            <w:tcW w:w="842" w:type="dxa"/>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Е</w:t>
            </w:r>
          </w:p>
        </w:tc>
      </w:tr>
      <w:tr w:rsidR="000179FA" w:rsidTr="00104F26">
        <w:tc>
          <w:tcPr>
            <w:tcW w:w="1560" w:type="dxa"/>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3.25-3.74 = 3.5</w:t>
            </w:r>
          </w:p>
        </w:tc>
        <w:tc>
          <w:tcPr>
            <w:tcW w:w="1560" w:type="dxa"/>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достатньо плюс</w:t>
            </w:r>
          </w:p>
        </w:tc>
        <w:tc>
          <w:tcPr>
            <w:tcW w:w="845" w:type="dxa"/>
            <w:tcBorders>
              <w:right w:val="single" w:sz="12" w:space="0" w:color="auto"/>
            </w:tcBorders>
          </w:tcPr>
          <w:p w:rsidR="000179FA" w:rsidRDefault="000179FA">
            <w:pPr>
              <w:spacing w:after="0" w:line="240" w:lineRule="auto"/>
              <w:jc w:val="both"/>
              <w:rPr>
                <w:rFonts w:ascii="Times New Roman" w:hAnsi="Times New Roman"/>
                <w:sz w:val="28"/>
                <w:szCs w:val="28"/>
                <w:lang w:val="en-US" w:eastAsia="ru-RU"/>
              </w:rPr>
            </w:pPr>
            <w:r>
              <w:rPr>
                <w:rFonts w:ascii="Times New Roman" w:hAnsi="Times New Roman"/>
                <w:sz w:val="28"/>
                <w:szCs w:val="28"/>
                <w:lang w:val="en-US" w:eastAsia="ru-RU"/>
              </w:rPr>
              <w:t>D</w:t>
            </w:r>
          </w:p>
        </w:tc>
        <w:tc>
          <w:tcPr>
            <w:tcW w:w="1440" w:type="dxa"/>
            <w:tcBorders>
              <w:left w:val="single" w:sz="12" w:space="0" w:color="auto"/>
            </w:tcBorders>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задовільно</w:t>
            </w:r>
          </w:p>
        </w:tc>
        <w:tc>
          <w:tcPr>
            <w:tcW w:w="1620" w:type="dxa"/>
            <w:vMerge/>
            <w:vAlign w:val="center"/>
          </w:tcPr>
          <w:p w:rsidR="000179FA" w:rsidRDefault="000179FA">
            <w:pPr>
              <w:spacing w:after="0" w:line="240" w:lineRule="auto"/>
              <w:rPr>
                <w:rFonts w:ascii="Times New Roman" w:hAnsi="Times New Roman"/>
                <w:sz w:val="28"/>
                <w:szCs w:val="28"/>
                <w:lang w:eastAsia="ru-RU"/>
              </w:rPr>
            </w:pPr>
          </w:p>
        </w:tc>
        <w:tc>
          <w:tcPr>
            <w:tcW w:w="1561" w:type="dxa"/>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69</w:t>
            </w:r>
          </w:p>
        </w:tc>
        <w:tc>
          <w:tcPr>
            <w:tcW w:w="842" w:type="dxa"/>
          </w:tcPr>
          <w:p w:rsidR="000179FA" w:rsidRDefault="000179FA">
            <w:pPr>
              <w:spacing w:after="0" w:line="240" w:lineRule="auto"/>
              <w:jc w:val="both"/>
              <w:rPr>
                <w:rFonts w:ascii="Times New Roman" w:hAnsi="Times New Roman"/>
                <w:sz w:val="28"/>
                <w:szCs w:val="28"/>
                <w:lang w:val="en-US" w:eastAsia="ru-RU"/>
              </w:rPr>
            </w:pPr>
            <w:r>
              <w:rPr>
                <w:rFonts w:ascii="Times New Roman" w:hAnsi="Times New Roman"/>
                <w:sz w:val="28"/>
                <w:szCs w:val="28"/>
                <w:lang w:val="en-US" w:eastAsia="ru-RU"/>
              </w:rPr>
              <w:t>D</w:t>
            </w:r>
          </w:p>
        </w:tc>
      </w:tr>
      <w:tr w:rsidR="000179FA" w:rsidTr="00104F26">
        <w:tc>
          <w:tcPr>
            <w:tcW w:w="1560" w:type="dxa"/>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3.75-4.24 = 4</w:t>
            </w:r>
          </w:p>
        </w:tc>
        <w:tc>
          <w:tcPr>
            <w:tcW w:w="1560" w:type="dxa"/>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добре</w:t>
            </w:r>
          </w:p>
        </w:tc>
        <w:tc>
          <w:tcPr>
            <w:tcW w:w="845" w:type="dxa"/>
            <w:tcBorders>
              <w:right w:val="single" w:sz="12" w:space="0" w:color="auto"/>
            </w:tcBorders>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w:t>
            </w:r>
          </w:p>
        </w:tc>
        <w:tc>
          <w:tcPr>
            <w:tcW w:w="1440" w:type="dxa"/>
            <w:tcBorders>
              <w:left w:val="single" w:sz="12" w:space="0" w:color="auto"/>
            </w:tcBorders>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добре</w:t>
            </w:r>
          </w:p>
        </w:tc>
        <w:tc>
          <w:tcPr>
            <w:tcW w:w="1620" w:type="dxa"/>
            <w:vMerge/>
            <w:vAlign w:val="center"/>
          </w:tcPr>
          <w:p w:rsidR="000179FA" w:rsidRDefault="000179FA">
            <w:pPr>
              <w:spacing w:after="0" w:line="240" w:lineRule="auto"/>
              <w:rPr>
                <w:rFonts w:ascii="Times New Roman" w:hAnsi="Times New Roman"/>
                <w:sz w:val="28"/>
                <w:szCs w:val="28"/>
                <w:lang w:eastAsia="ru-RU"/>
              </w:rPr>
            </w:pPr>
          </w:p>
        </w:tc>
        <w:tc>
          <w:tcPr>
            <w:tcW w:w="1561" w:type="dxa"/>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78</w:t>
            </w:r>
          </w:p>
        </w:tc>
        <w:tc>
          <w:tcPr>
            <w:tcW w:w="842" w:type="dxa"/>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w:t>
            </w:r>
          </w:p>
        </w:tc>
      </w:tr>
      <w:tr w:rsidR="000179FA" w:rsidTr="00104F26">
        <w:tc>
          <w:tcPr>
            <w:tcW w:w="1560" w:type="dxa"/>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4.25-4.74 = 4.5</w:t>
            </w:r>
          </w:p>
        </w:tc>
        <w:tc>
          <w:tcPr>
            <w:tcW w:w="1560" w:type="dxa"/>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добре плюс</w:t>
            </w:r>
          </w:p>
        </w:tc>
        <w:tc>
          <w:tcPr>
            <w:tcW w:w="845" w:type="dxa"/>
            <w:tcBorders>
              <w:right w:val="single" w:sz="12" w:space="0" w:color="auto"/>
            </w:tcBorders>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w:t>
            </w:r>
          </w:p>
        </w:tc>
        <w:tc>
          <w:tcPr>
            <w:tcW w:w="1440" w:type="dxa"/>
            <w:tcBorders>
              <w:left w:val="single" w:sz="12" w:space="0" w:color="auto"/>
            </w:tcBorders>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добре</w:t>
            </w:r>
          </w:p>
        </w:tc>
        <w:tc>
          <w:tcPr>
            <w:tcW w:w="1620" w:type="dxa"/>
            <w:vMerge/>
            <w:vAlign w:val="center"/>
          </w:tcPr>
          <w:p w:rsidR="000179FA" w:rsidRDefault="000179FA">
            <w:pPr>
              <w:spacing w:after="0" w:line="240" w:lineRule="auto"/>
              <w:rPr>
                <w:rFonts w:ascii="Times New Roman" w:hAnsi="Times New Roman"/>
                <w:sz w:val="28"/>
                <w:szCs w:val="28"/>
                <w:lang w:eastAsia="ru-RU"/>
              </w:rPr>
            </w:pPr>
          </w:p>
        </w:tc>
        <w:tc>
          <w:tcPr>
            <w:tcW w:w="1561" w:type="dxa"/>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87</w:t>
            </w:r>
          </w:p>
        </w:tc>
        <w:tc>
          <w:tcPr>
            <w:tcW w:w="842" w:type="dxa"/>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w:t>
            </w:r>
          </w:p>
        </w:tc>
      </w:tr>
      <w:tr w:rsidR="000179FA" w:rsidTr="00104F26">
        <w:tc>
          <w:tcPr>
            <w:tcW w:w="1560" w:type="dxa"/>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4.65-5.0 = 5</w:t>
            </w:r>
          </w:p>
        </w:tc>
        <w:tc>
          <w:tcPr>
            <w:tcW w:w="1560" w:type="dxa"/>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дуже добре</w:t>
            </w:r>
          </w:p>
        </w:tc>
        <w:tc>
          <w:tcPr>
            <w:tcW w:w="845" w:type="dxa"/>
            <w:tcBorders>
              <w:right w:val="single" w:sz="12" w:space="0" w:color="auto"/>
            </w:tcBorders>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w:t>
            </w:r>
          </w:p>
        </w:tc>
        <w:tc>
          <w:tcPr>
            <w:tcW w:w="1440" w:type="dxa"/>
            <w:tcBorders>
              <w:left w:val="single" w:sz="12" w:space="0" w:color="auto"/>
            </w:tcBorders>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відмінно</w:t>
            </w:r>
          </w:p>
        </w:tc>
        <w:tc>
          <w:tcPr>
            <w:tcW w:w="1620" w:type="dxa"/>
            <w:vMerge/>
            <w:vAlign w:val="center"/>
          </w:tcPr>
          <w:p w:rsidR="000179FA" w:rsidRDefault="000179FA">
            <w:pPr>
              <w:spacing w:after="0" w:line="240" w:lineRule="auto"/>
              <w:rPr>
                <w:rFonts w:ascii="Times New Roman" w:hAnsi="Times New Roman"/>
                <w:sz w:val="28"/>
                <w:szCs w:val="28"/>
                <w:lang w:eastAsia="ru-RU"/>
              </w:rPr>
            </w:pPr>
          </w:p>
        </w:tc>
        <w:tc>
          <w:tcPr>
            <w:tcW w:w="1561" w:type="dxa"/>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95</w:t>
            </w:r>
          </w:p>
        </w:tc>
        <w:tc>
          <w:tcPr>
            <w:tcW w:w="842" w:type="dxa"/>
          </w:tcPr>
          <w:p w:rsidR="000179FA" w:rsidRDefault="000179F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w:t>
            </w:r>
          </w:p>
        </w:tc>
      </w:tr>
    </w:tbl>
    <w:p w:rsidR="000179FA" w:rsidRDefault="000179FA" w:rsidP="00104F26">
      <w:pPr>
        <w:spacing w:after="0" w:line="240" w:lineRule="auto"/>
        <w:ind w:firstLine="540"/>
        <w:jc w:val="both"/>
        <w:rPr>
          <w:rFonts w:ascii="Times New Roman" w:hAnsi="Times New Roman"/>
          <w:sz w:val="28"/>
          <w:szCs w:val="28"/>
          <w:lang w:eastAsia="ru-RU"/>
        </w:rPr>
      </w:pPr>
    </w:p>
    <w:p w:rsidR="000179FA" w:rsidRDefault="000179FA" w:rsidP="00104F26">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Відповідний запис про результати навчання у ВНЗ-партнері (наприклад, «добре (зараховано), 78, С») в «Аркуші успішності» та в заліковій книжці робить координатор проекту (заступник декана з навчальної роботи) з посиланням на відповідне розпорядження проректора з навчальної та науково-педагогічної роботи.</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7. Державна атестація здобувачів вищої освіти, які навчаються за програмою академічної мобільності, здійснюється у встановленому порядку.</w:t>
      </w:r>
    </w:p>
    <w:p w:rsidR="000179FA" w:rsidRDefault="000179FA" w:rsidP="00104F26">
      <w:pPr>
        <w:spacing w:after="0" w:line="240" w:lineRule="auto"/>
        <w:ind w:firstLine="357"/>
        <w:jc w:val="both"/>
        <w:rPr>
          <w:rFonts w:ascii="Times New Roman" w:hAnsi="Times New Roman"/>
          <w:sz w:val="28"/>
          <w:szCs w:val="28"/>
          <w:lang w:eastAsia="ru-RU"/>
        </w:rPr>
      </w:pP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6. ОБОВ’ЯЗКИ ВИЩИХ НАВЧАЛЬНИХ ЗАКЛАДІВ-ПАРТНЕРІВ</w:t>
      </w:r>
    </w:p>
    <w:p w:rsidR="000179FA" w:rsidRDefault="000179FA" w:rsidP="00104F26">
      <w:pPr>
        <w:spacing w:after="0" w:line="240" w:lineRule="auto"/>
        <w:ind w:firstLine="357"/>
        <w:jc w:val="both"/>
        <w:rPr>
          <w:rFonts w:ascii="Times New Roman" w:hAnsi="Times New Roman"/>
          <w:sz w:val="28"/>
          <w:szCs w:val="28"/>
          <w:lang w:eastAsia="ru-RU"/>
        </w:rPr>
      </w:pPr>
    </w:p>
    <w:p w:rsidR="000179FA" w:rsidRDefault="000179FA" w:rsidP="00104F26">
      <w:pPr>
        <w:spacing w:after="0" w:line="240" w:lineRule="auto"/>
        <w:ind w:firstLine="357"/>
        <w:jc w:val="both"/>
        <w:rPr>
          <w:rFonts w:ascii="Times New Roman" w:hAnsi="Times New Roman"/>
          <w:sz w:val="28"/>
          <w:szCs w:val="28"/>
          <w:lang w:eastAsia="uk-UA"/>
        </w:rPr>
      </w:pPr>
      <w:r>
        <w:rPr>
          <w:rFonts w:ascii="Times New Roman" w:hAnsi="Times New Roman"/>
          <w:sz w:val="28"/>
          <w:szCs w:val="28"/>
          <w:lang w:eastAsia="uk-UA"/>
        </w:rPr>
        <w:t>1. Учасники освітнього процесу, які є здобувачами вищої освіти в  межах програм внутрішньої мобільності, зараховуються до вищих навчальних закладів (наукових установ) — партнерів в Україні як такі, що тимчасово допущені до освітнього процесу і мають права та обов’язки здобувачів вищої освіти вітчизняного вищого навчального закладу (наукової установи).</w:t>
      </w:r>
    </w:p>
    <w:p w:rsidR="000179FA" w:rsidRDefault="000179FA" w:rsidP="00104F26">
      <w:pPr>
        <w:spacing w:after="0" w:line="240" w:lineRule="auto"/>
        <w:ind w:firstLine="357"/>
        <w:jc w:val="both"/>
        <w:rPr>
          <w:rFonts w:ascii="Times New Roman" w:hAnsi="Times New Roman"/>
          <w:sz w:val="28"/>
          <w:szCs w:val="28"/>
          <w:lang w:eastAsia="uk-UA"/>
        </w:rPr>
      </w:pPr>
      <w:r>
        <w:rPr>
          <w:rFonts w:ascii="Times New Roman" w:hAnsi="Times New Roman"/>
          <w:sz w:val="28"/>
          <w:szCs w:val="28"/>
          <w:lang w:eastAsia="uk-UA"/>
        </w:rPr>
        <w:t>2. За домовленістю між учасниками академічної мобільності:</w:t>
      </w:r>
    </w:p>
    <w:p w:rsidR="000179FA" w:rsidRDefault="000179FA" w:rsidP="00104F26">
      <w:pPr>
        <w:spacing w:after="0" w:line="240" w:lineRule="auto"/>
        <w:ind w:firstLine="357"/>
        <w:jc w:val="both"/>
        <w:rPr>
          <w:rFonts w:ascii="Times New Roman" w:hAnsi="Times New Roman"/>
          <w:sz w:val="28"/>
          <w:szCs w:val="28"/>
          <w:lang w:eastAsia="uk-UA"/>
        </w:rPr>
      </w:pPr>
      <w:r>
        <w:rPr>
          <w:rFonts w:ascii="Times New Roman" w:hAnsi="Times New Roman"/>
          <w:sz w:val="28"/>
          <w:szCs w:val="28"/>
          <w:lang w:eastAsia="uk-UA"/>
        </w:rPr>
        <w:t>здійснюється відбір учасників освітнього процесу для участі в програмах академічної мобільності;</w:t>
      </w:r>
    </w:p>
    <w:p w:rsidR="000179FA" w:rsidRDefault="000179FA" w:rsidP="00104F26">
      <w:pPr>
        <w:spacing w:after="0" w:line="240" w:lineRule="auto"/>
        <w:ind w:firstLine="357"/>
        <w:jc w:val="both"/>
        <w:rPr>
          <w:rFonts w:ascii="Times New Roman" w:hAnsi="Times New Roman"/>
          <w:sz w:val="28"/>
          <w:szCs w:val="28"/>
          <w:lang w:eastAsia="uk-UA"/>
        </w:rPr>
      </w:pPr>
      <w:r>
        <w:rPr>
          <w:rFonts w:ascii="Times New Roman" w:hAnsi="Times New Roman"/>
          <w:sz w:val="28"/>
          <w:szCs w:val="28"/>
          <w:lang w:eastAsia="uk-UA"/>
        </w:rPr>
        <w:t>регламентуються перелік вимог та документів, необхідних для підтвердження участі в програмі академічної мобільності, процедура і строк їх подання;</w:t>
      </w:r>
    </w:p>
    <w:p w:rsidR="000179FA" w:rsidRDefault="000179FA" w:rsidP="00104F26">
      <w:pPr>
        <w:spacing w:after="0" w:line="240" w:lineRule="auto"/>
        <w:ind w:firstLine="357"/>
        <w:jc w:val="both"/>
        <w:rPr>
          <w:rFonts w:ascii="Times New Roman" w:hAnsi="Times New Roman"/>
          <w:sz w:val="28"/>
          <w:szCs w:val="28"/>
          <w:lang w:eastAsia="uk-UA"/>
        </w:rPr>
      </w:pPr>
      <w:r>
        <w:rPr>
          <w:rFonts w:ascii="Times New Roman" w:hAnsi="Times New Roman"/>
          <w:sz w:val="28"/>
          <w:szCs w:val="28"/>
          <w:lang w:eastAsia="uk-UA"/>
        </w:rPr>
        <w:t>визначаються етапи, фінансові умови, види та форми академічної мобільності, тривалість і зміст навчання та стажування у вищих навчальних закладах (наукових установах) — партнерах;</w:t>
      </w:r>
    </w:p>
    <w:p w:rsidR="000179FA" w:rsidRDefault="000179FA" w:rsidP="00104F26">
      <w:pPr>
        <w:spacing w:after="0" w:line="240" w:lineRule="auto"/>
        <w:ind w:firstLine="357"/>
        <w:jc w:val="both"/>
        <w:rPr>
          <w:rFonts w:ascii="Times New Roman" w:hAnsi="Times New Roman"/>
          <w:sz w:val="28"/>
          <w:szCs w:val="28"/>
          <w:lang w:eastAsia="uk-UA"/>
        </w:rPr>
      </w:pPr>
      <w:r>
        <w:rPr>
          <w:rFonts w:ascii="Times New Roman" w:hAnsi="Times New Roman"/>
          <w:sz w:val="28"/>
          <w:szCs w:val="28"/>
          <w:lang w:eastAsia="uk-UA"/>
        </w:rPr>
        <w:t>визначаються умови визнання результатів навчання, стажування або проведення наукових досліджень та звітування науково-педагогічних, наукових та педагогічних працівників.</w:t>
      </w:r>
    </w:p>
    <w:p w:rsidR="000179FA" w:rsidRDefault="000179FA" w:rsidP="00104F26">
      <w:pPr>
        <w:spacing w:after="0" w:line="240" w:lineRule="auto"/>
        <w:ind w:left="717"/>
        <w:jc w:val="both"/>
        <w:rPr>
          <w:rFonts w:ascii="Times New Roman" w:hAnsi="Times New Roman"/>
          <w:sz w:val="28"/>
          <w:szCs w:val="28"/>
          <w:lang w:eastAsia="uk-UA"/>
        </w:rPr>
      </w:pPr>
      <w:r>
        <w:rPr>
          <w:rFonts w:ascii="Times New Roman" w:hAnsi="Times New Roman"/>
          <w:sz w:val="28"/>
          <w:szCs w:val="28"/>
          <w:lang w:eastAsia="ru-RU"/>
        </w:rPr>
        <w:t>2. Вищий навчальний заклад, що направляє на навчання, зобов’язаний:</w:t>
      </w:r>
    </w:p>
    <w:p w:rsidR="000179FA" w:rsidRDefault="000179FA" w:rsidP="00104F26">
      <w:pPr>
        <w:spacing w:after="0" w:line="240" w:lineRule="auto"/>
        <w:ind w:firstLine="357"/>
        <w:jc w:val="both"/>
        <w:rPr>
          <w:rFonts w:ascii="Times New Roman" w:hAnsi="Times New Roman"/>
          <w:sz w:val="28"/>
          <w:szCs w:val="28"/>
          <w:lang w:eastAsia="uk-UA"/>
        </w:rPr>
      </w:pPr>
      <w:r>
        <w:rPr>
          <w:rFonts w:ascii="Times New Roman" w:hAnsi="Times New Roman"/>
          <w:sz w:val="28"/>
          <w:szCs w:val="28"/>
          <w:lang w:eastAsia="ru-RU"/>
        </w:rPr>
        <w:t xml:space="preserve">укласти угоду про співробітництво щодо реалізації програми академічної мобільності здобувачів вищої освіти між вищими навчальними закладами-партнерами та узгодити навчальні програми; </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забезпечити вільний і рівний доступ до інформації про наявні програми академічної мобільності та існуючі критерії відбору;</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 xml:space="preserve">надавати консультативні послуги під час оформлення документів для участі у програмах академічної мобільності; </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контролювати наявність документів, що підтверджують законність перебування здобувачів вищої освіти-іноземців на території приймаючої країни.</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3. Вищий навчальний заклад-партнер, що приймає на навчання, зобов’язаний:</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зарахувати здобувача вищої освіти, направленого на навчання на визначений договором строк відповідно до норм законодавства приймаючої сторони;</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створити усі необхідні умови для виконання індивідуального навчального плану;</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сприяти у вирішенні візових, житлових та побутових проблем;</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надавати можливість здобувачам вищої освіти вищого навчального закладу-партнера брати участь у наукових конференціях, симпозіумах, виставках, конкурсах, представляти свої наукові роботи для публікацій, користуватися навчальною, науковою, виробничою, культурною, спортивною базами;</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 xml:space="preserve">контролювати наявність документів, що підтверджують законність перебування здобувачів вищої освіти-іноземців на території приймаючої країни; </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після завершення навчання видати документ з переліком та результатами вивчення навчальних дисциплін, кількістю кредитів та інформацією про систему оцінювання навчальних здобутків студентів або документ про вищу освіту з додатком встановленого у вищому навчальному закладі-партнері зразка.</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4. Обов'язки вищих навчальних закладів-партнерів щодо осіб, які беруть участь у програмах академічної мобільності, мають бути обумовлені у відповідних угодах між вищими навчальними закладами-партнерами щодо програм академічної мобільності студентів між вищими навчальними закладами-партнерами.</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5. Здобувачі вищої освіти мають право на:</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продовження навчання або вивчення окремих навчальних дисциплін за спорідненими напрямами та спеціальностями підготовки фахівців у вищих навчальних закладах-партнерах;</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безпечні та нешкідливі умови навчання;</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користування навчальною, науковою, виробничою, культурною, спортивною базою вищого навчального закладу, що приймає;</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участь у наукових конференціях, симпозіумах, виставках, конкурсах, представлення своїх наукових робіт для публікацій;</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можливість отримання документа про відповідний рівень встановленого у вищому навчальному закладі-партнері зразка відбувається відповідно до угоди між вищими навчальними закладами-партнерами щодо програм академічної мобільності.</w:t>
      </w:r>
    </w:p>
    <w:p w:rsidR="000179FA" w:rsidRDefault="000179FA" w:rsidP="00104F26">
      <w:pPr>
        <w:spacing w:after="0" w:line="240" w:lineRule="auto"/>
        <w:ind w:firstLine="357"/>
        <w:jc w:val="both"/>
        <w:rPr>
          <w:rFonts w:ascii="Times New Roman" w:hAnsi="Times New Roman"/>
          <w:sz w:val="28"/>
          <w:szCs w:val="28"/>
          <w:lang w:eastAsia="uk-UA"/>
        </w:rPr>
      </w:pPr>
      <w:r>
        <w:rPr>
          <w:rFonts w:ascii="Times New Roman" w:hAnsi="Times New Roman"/>
          <w:sz w:val="28"/>
          <w:szCs w:val="28"/>
          <w:lang w:eastAsia="uk-UA"/>
        </w:rPr>
        <w:t>За здобувачами вищої освіти на період навчання в іншому вищому навчальному закладі (науковій установі) — партнері на території України чи поза її межами зберігаються відповідно до укладеного договору про академічну мобільність місце навчання та виплата стипендії згідно із законодавством протягом навчання, стажування чи провадження наукової діяльності в іншому вищому навчальному закладі (науковій установі) — партнері на території України чи поза її межами, якщо стипендія не передбачена умовами академічної мобільності.</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6. Здобувачі вищої освіти зобов’язані:</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своєчасно надати необхідні документи для участі в програмі академічної мобільності;</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вчасно прибути до місця навчання;</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під час навчання дотримуватися законодавства країни перебування, правил внутрішнього розпорядку, Статуту та інших нормативно-правових документів вищого навчального закладу, що приймає;</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успішно пройти навчання за затвердженим індивідуальним навчальним планом;</w:t>
      </w: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після завершення навчання у вищому навчальному закладі-партнері вчасно повернутися до вищого навчального закладу, що направив на навчання.</w:t>
      </w:r>
    </w:p>
    <w:p w:rsidR="000179FA" w:rsidRDefault="000179FA" w:rsidP="00104F26">
      <w:pPr>
        <w:spacing w:after="0" w:line="240" w:lineRule="auto"/>
        <w:ind w:firstLine="357"/>
        <w:jc w:val="both"/>
        <w:rPr>
          <w:rFonts w:ascii="Times New Roman" w:hAnsi="Times New Roman"/>
          <w:sz w:val="28"/>
          <w:szCs w:val="28"/>
          <w:lang w:eastAsia="ru-RU"/>
        </w:rPr>
      </w:pPr>
    </w:p>
    <w:p w:rsidR="000179FA" w:rsidRDefault="000179FA" w:rsidP="00104F26">
      <w:pPr>
        <w:tabs>
          <w:tab w:val="left" w:pos="0"/>
        </w:tabs>
        <w:spacing w:after="0" w:line="240" w:lineRule="auto"/>
        <w:jc w:val="center"/>
        <w:rPr>
          <w:rFonts w:ascii="Times New Roman" w:hAnsi="Times New Roman"/>
          <w:iCs/>
          <w:sz w:val="28"/>
          <w:szCs w:val="28"/>
          <w:lang w:eastAsia="ru-RU"/>
        </w:rPr>
      </w:pPr>
      <w:r>
        <w:rPr>
          <w:rFonts w:ascii="Times New Roman" w:hAnsi="Times New Roman"/>
          <w:iCs/>
          <w:sz w:val="28"/>
          <w:szCs w:val="28"/>
          <w:lang w:eastAsia="ru-RU"/>
        </w:rPr>
        <w:t>7.ЗВІТУВАННЯ ТА ОФОРМЛЕННЯ ДОКУМЕНТІВ ЗА РЕЗУЛЬТАТАМИ НАВЧАННЯ ЗА ПРОГРАМОЮ АКАДЕМІЧНОЇ МОБІЛЬНОСТІ</w:t>
      </w:r>
    </w:p>
    <w:p w:rsidR="000179FA" w:rsidRDefault="000179FA" w:rsidP="00104F26">
      <w:pPr>
        <w:tabs>
          <w:tab w:val="left" w:pos="0"/>
        </w:tabs>
        <w:spacing w:after="0" w:line="240" w:lineRule="auto"/>
        <w:jc w:val="center"/>
        <w:rPr>
          <w:rFonts w:ascii="Times New Roman" w:hAnsi="Times New Roman"/>
          <w:sz w:val="28"/>
          <w:szCs w:val="28"/>
          <w:lang w:eastAsia="ru-RU"/>
        </w:rPr>
      </w:pPr>
    </w:p>
    <w:p w:rsidR="000179FA" w:rsidRDefault="000179FA" w:rsidP="00104F26">
      <w:pPr>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1. Після повернення до ХДУ здобувач вищої освіти надає до деканату документ з переліком та результатами вивчення навчальних дисциплін, кількістю кредитів та інформацією про систему оцінювання навчальних здобутків, завірений в установленому порядку у вищому навчальному закладі-партнері.</w:t>
      </w:r>
    </w:p>
    <w:p w:rsidR="000179FA" w:rsidRDefault="000179FA" w:rsidP="00104F26">
      <w:pPr>
        <w:tabs>
          <w:tab w:val="num" w:pos="0"/>
        </w:tabs>
        <w:spacing w:after="0" w:line="240" w:lineRule="auto"/>
        <w:ind w:firstLine="357"/>
        <w:jc w:val="both"/>
        <w:rPr>
          <w:rFonts w:ascii="Times New Roman" w:hAnsi="Times New Roman"/>
          <w:sz w:val="28"/>
          <w:szCs w:val="28"/>
          <w:lang w:eastAsia="ru-RU"/>
        </w:rPr>
      </w:pPr>
      <w:r>
        <w:rPr>
          <w:rFonts w:ascii="Times New Roman" w:hAnsi="Times New Roman"/>
          <w:sz w:val="28"/>
          <w:szCs w:val="28"/>
          <w:lang w:eastAsia="ru-RU"/>
        </w:rPr>
        <w:t>2. Якщо здобувач вищої освіти під час перебування у вищому навчальному закладі-партнері не виконав затверджений індивідуальний навчальний план, то після повернення до ХДУ, йому може бути запропонований індивідуальний графік ліквідації академічної заборгованості, затверджений в установленому порядку, або повторний курс навчання у ХДУ за рахунок коштів фізичних та юридичних осіб.</w:t>
      </w:r>
    </w:p>
    <w:p w:rsidR="000179FA" w:rsidRDefault="000179FA" w:rsidP="00104F26">
      <w:pPr>
        <w:spacing w:after="0" w:line="240" w:lineRule="auto"/>
        <w:ind w:firstLine="357"/>
        <w:rPr>
          <w:rFonts w:ascii="Times New Roman" w:hAnsi="Times New Roman"/>
          <w:sz w:val="28"/>
          <w:szCs w:val="28"/>
        </w:rPr>
      </w:pPr>
    </w:p>
    <w:p w:rsidR="000179FA" w:rsidRPr="00104F26" w:rsidRDefault="000179FA" w:rsidP="00104F26"/>
    <w:sectPr w:rsidR="000179FA" w:rsidRPr="00104F26" w:rsidSect="00A57D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E3C4E"/>
    <w:multiLevelType w:val="hybridMultilevel"/>
    <w:tmpl w:val="9CDAC2B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4CC6D4A4">
      <w:start w:val="4"/>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533D146C"/>
    <w:multiLevelType w:val="hybridMultilevel"/>
    <w:tmpl w:val="3E26B76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5D3A31A4"/>
    <w:multiLevelType w:val="hybridMultilevel"/>
    <w:tmpl w:val="F8C672E4"/>
    <w:lvl w:ilvl="0" w:tplc="75DCE260">
      <w:start w:val="1"/>
      <w:numFmt w:val="decimal"/>
      <w:lvlText w:val="%1."/>
      <w:lvlJc w:val="left"/>
      <w:pPr>
        <w:tabs>
          <w:tab w:val="num" w:pos="1065"/>
        </w:tabs>
        <w:ind w:left="1065" w:hanging="705"/>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63DC3208"/>
    <w:multiLevelType w:val="hybridMultilevel"/>
    <w:tmpl w:val="B822A306"/>
    <w:lvl w:ilvl="0" w:tplc="DFC88CD8">
      <w:start w:val="1"/>
      <w:numFmt w:val="decimal"/>
      <w:lvlText w:val="%1."/>
      <w:lvlJc w:val="left"/>
      <w:pPr>
        <w:tabs>
          <w:tab w:val="num" w:pos="1065"/>
        </w:tabs>
        <w:ind w:left="1065" w:hanging="705"/>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6CA00B68"/>
    <w:multiLevelType w:val="hybridMultilevel"/>
    <w:tmpl w:val="1CBEEBC2"/>
    <w:lvl w:ilvl="0" w:tplc="6B2C0578">
      <w:start w:val="1"/>
      <w:numFmt w:val="decimal"/>
      <w:lvlText w:val="%1."/>
      <w:lvlJc w:val="left"/>
      <w:pPr>
        <w:ind w:left="717" w:hanging="360"/>
      </w:pPr>
      <w:rPr>
        <w:rFonts w:cs="Times New Roman"/>
      </w:rPr>
    </w:lvl>
    <w:lvl w:ilvl="1" w:tplc="04220019">
      <w:start w:val="1"/>
      <w:numFmt w:val="lowerLetter"/>
      <w:lvlText w:val="%2."/>
      <w:lvlJc w:val="left"/>
      <w:pPr>
        <w:ind w:left="1437" w:hanging="360"/>
      </w:pPr>
      <w:rPr>
        <w:rFonts w:cs="Times New Roman"/>
      </w:rPr>
    </w:lvl>
    <w:lvl w:ilvl="2" w:tplc="0422001B">
      <w:start w:val="1"/>
      <w:numFmt w:val="lowerRoman"/>
      <w:lvlText w:val="%3."/>
      <w:lvlJc w:val="right"/>
      <w:pPr>
        <w:ind w:left="2157" w:hanging="180"/>
      </w:pPr>
      <w:rPr>
        <w:rFonts w:cs="Times New Roman"/>
      </w:rPr>
    </w:lvl>
    <w:lvl w:ilvl="3" w:tplc="0422000F">
      <w:start w:val="1"/>
      <w:numFmt w:val="decimal"/>
      <w:lvlText w:val="%4."/>
      <w:lvlJc w:val="left"/>
      <w:pPr>
        <w:ind w:left="2877" w:hanging="360"/>
      </w:pPr>
      <w:rPr>
        <w:rFonts w:cs="Times New Roman"/>
      </w:rPr>
    </w:lvl>
    <w:lvl w:ilvl="4" w:tplc="04220019">
      <w:start w:val="1"/>
      <w:numFmt w:val="lowerLetter"/>
      <w:lvlText w:val="%5."/>
      <w:lvlJc w:val="left"/>
      <w:pPr>
        <w:ind w:left="3597" w:hanging="360"/>
      </w:pPr>
      <w:rPr>
        <w:rFonts w:cs="Times New Roman"/>
      </w:rPr>
    </w:lvl>
    <w:lvl w:ilvl="5" w:tplc="0422001B">
      <w:start w:val="1"/>
      <w:numFmt w:val="lowerRoman"/>
      <w:lvlText w:val="%6."/>
      <w:lvlJc w:val="right"/>
      <w:pPr>
        <w:ind w:left="4317" w:hanging="180"/>
      </w:pPr>
      <w:rPr>
        <w:rFonts w:cs="Times New Roman"/>
      </w:rPr>
    </w:lvl>
    <w:lvl w:ilvl="6" w:tplc="0422000F">
      <w:start w:val="1"/>
      <w:numFmt w:val="decimal"/>
      <w:lvlText w:val="%7."/>
      <w:lvlJc w:val="left"/>
      <w:pPr>
        <w:ind w:left="5037" w:hanging="360"/>
      </w:pPr>
      <w:rPr>
        <w:rFonts w:cs="Times New Roman"/>
      </w:rPr>
    </w:lvl>
    <w:lvl w:ilvl="7" w:tplc="04220019">
      <w:start w:val="1"/>
      <w:numFmt w:val="lowerLetter"/>
      <w:lvlText w:val="%8."/>
      <w:lvlJc w:val="left"/>
      <w:pPr>
        <w:ind w:left="5757" w:hanging="360"/>
      </w:pPr>
      <w:rPr>
        <w:rFonts w:cs="Times New Roman"/>
      </w:rPr>
    </w:lvl>
    <w:lvl w:ilvl="8" w:tplc="0422001B">
      <w:start w:val="1"/>
      <w:numFmt w:val="lowerRoman"/>
      <w:lvlText w:val="%9."/>
      <w:lvlJc w:val="right"/>
      <w:pPr>
        <w:ind w:left="6477"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38DD"/>
    <w:rsid w:val="000179FA"/>
    <w:rsid w:val="00104F26"/>
    <w:rsid w:val="002C2F7A"/>
    <w:rsid w:val="003344FD"/>
    <w:rsid w:val="003532F7"/>
    <w:rsid w:val="00520B54"/>
    <w:rsid w:val="00592655"/>
    <w:rsid w:val="00A57D15"/>
    <w:rsid w:val="00A811A9"/>
    <w:rsid w:val="00B07059"/>
    <w:rsid w:val="00C05C29"/>
    <w:rsid w:val="00C36017"/>
    <w:rsid w:val="00C433B2"/>
    <w:rsid w:val="00CD38DD"/>
    <w:rsid w:val="00CE74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F26"/>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04F26"/>
    <w:pPr>
      <w:ind w:left="720"/>
      <w:contextualSpacing/>
    </w:pPr>
  </w:style>
</w:styles>
</file>

<file path=word/webSettings.xml><?xml version="1.0" encoding="utf-8"?>
<w:webSettings xmlns:r="http://schemas.openxmlformats.org/officeDocument/2006/relationships" xmlns:w="http://schemas.openxmlformats.org/wordprocessingml/2006/main">
  <w:divs>
    <w:div w:id="437146448">
      <w:marLeft w:val="0"/>
      <w:marRight w:val="0"/>
      <w:marTop w:val="0"/>
      <w:marBottom w:val="0"/>
      <w:divBdr>
        <w:top w:val="none" w:sz="0" w:space="0" w:color="auto"/>
        <w:left w:val="none" w:sz="0" w:space="0" w:color="auto"/>
        <w:bottom w:val="none" w:sz="0" w:space="0" w:color="auto"/>
        <w:right w:val="none" w:sz="0" w:space="0" w:color="auto"/>
      </w:divBdr>
    </w:div>
    <w:div w:id="437146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8</Pages>
  <Words>2647</Words>
  <Characters>15094</Characters>
  <Application>Microsoft Office Outlook</Application>
  <DocSecurity>0</DocSecurity>
  <Lines>0</Lines>
  <Paragraphs>0</Paragraphs>
  <ScaleCrop>false</ScaleCrop>
  <Company>DataArt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Полякова Галина Николаевна</dc:creator>
  <cp:keywords/>
  <dc:description/>
  <cp:lastModifiedBy>tschorna</cp:lastModifiedBy>
  <cp:revision>3</cp:revision>
  <dcterms:created xsi:type="dcterms:W3CDTF">2016-04-05T11:47:00Z</dcterms:created>
  <dcterms:modified xsi:type="dcterms:W3CDTF">2016-04-05T11:58:00Z</dcterms:modified>
</cp:coreProperties>
</file>